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057BA0" w14:textId="16FF9E34" w:rsidR="004C774C" w:rsidRDefault="006751F9" w:rsidP="00C9504C">
      <w:pPr>
        <w:spacing w:after="0" w:line="480" w:lineRule="auto"/>
        <w:jc w:val="both"/>
        <w:rPr>
          <w:rFonts w:ascii="Arial" w:hAnsi="Arial" w:cs="Arial"/>
          <w:b/>
        </w:rPr>
      </w:pPr>
      <w:r>
        <w:rPr>
          <w:rFonts w:ascii="Arial" w:hAnsi="Arial" w:cs="Arial"/>
          <w:b/>
        </w:rPr>
        <w:t>Supplementary Information</w:t>
      </w:r>
    </w:p>
    <w:p w14:paraId="792C1CED" w14:textId="77777777" w:rsidR="006751F9" w:rsidRDefault="006751F9" w:rsidP="006751F9">
      <w:pPr>
        <w:spacing w:line="480" w:lineRule="auto"/>
        <w:jc w:val="both"/>
        <w:rPr>
          <w:rFonts w:ascii="Arial" w:hAnsi="Arial" w:cs="Arial"/>
          <w:b/>
          <w:bCs/>
        </w:rPr>
      </w:pPr>
      <w:r>
        <w:rPr>
          <w:rFonts w:ascii="Arial" w:hAnsi="Arial" w:cs="Arial"/>
          <w:b/>
          <w:bCs/>
        </w:rPr>
        <w:t>Determination of Metal(</w:t>
      </w:r>
      <w:proofErr w:type="spellStart"/>
      <w:r>
        <w:rPr>
          <w:rFonts w:ascii="Arial" w:hAnsi="Arial" w:cs="Arial"/>
          <w:b/>
          <w:bCs/>
        </w:rPr>
        <w:t>oid</w:t>
      </w:r>
      <w:proofErr w:type="spellEnd"/>
      <w:r>
        <w:rPr>
          <w:rFonts w:ascii="Arial" w:hAnsi="Arial" w:cs="Arial"/>
          <w:b/>
          <w:bCs/>
        </w:rPr>
        <w:t>)s and Polycyclic Aromatic Hydrocarbons in Size-Fractionated Airborne Particulate Matter: Methodological Approaches, Trends, Gaps and Future Needs: A Review</w:t>
      </w:r>
    </w:p>
    <w:p w14:paraId="524311A7" w14:textId="77777777" w:rsidR="006751F9" w:rsidRPr="002728CB" w:rsidRDefault="006751F9" w:rsidP="006751F9">
      <w:pPr>
        <w:spacing w:before="26" w:after="26" w:line="480" w:lineRule="auto"/>
        <w:rPr>
          <w:rFonts w:ascii="Arial" w:hAnsi="Arial" w:cs="Arial"/>
        </w:rPr>
      </w:pPr>
    </w:p>
    <w:p w14:paraId="49A5A088" w14:textId="77777777" w:rsidR="006751F9" w:rsidRPr="00597B1C" w:rsidRDefault="006751F9" w:rsidP="006751F9">
      <w:pPr>
        <w:pStyle w:val="NormalWeb"/>
        <w:spacing w:before="0" w:beforeAutospacing="0" w:after="0" w:afterAutospacing="0" w:line="480" w:lineRule="auto"/>
        <w:jc w:val="both"/>
        <w:rPr>
          <w:rFonts w:ascii="Arial" w:hAnsi="Arial" w:cs="Arial"/>
          <w:sz w:val="22"/>
          <w:szCs w:val="22"/>
          <w:shd w:val="clear" w:color="auto" w:fill="FFFFFF"/>
          <w:vertAlign w:val="superscript"/>
        </w:rPr>
      </w:pPr>
      <w:r w:rsidRPr="00597B1C">
        <w:rPr>
          <w:rFonts w:ascii="Arial" w:hAnsi="Arial" w:cs="Arial"/>
          <w:sz w:val="22"/>
          <w:szCs w:val="22"/>
          <w:shd w:val="clear" w:color="auto" w:fill="FFFFFF"/>
        </w:rPr>
        <w:t>Anja Ilenič</w:t>
      </w:r>
      <w:r w:rsidRPr="00597B1C">
        <w:rPr>
          <w:rFonts w:ascii="Arial" w:hAnsi="Arial" w:cs="Arial"/>
          <w:sz w:val="22"/>
          <w:szCs w:val="22"/>
          <w:shd w:val="clear" w:color="auto" w:fill="FFFFFF"/>
          <w:vertAlign w:val="superscript"/>
        </w:rPr>
        <w:t>1,2*</w:t>
      </w:r>
      <w:r w:rsidRPr="00597B1C">
        <w:rPr>
          <w:rFonts w:ascii="Arial" w:hAnsi="Arial" w:cs="Arial"/>
          <w:sz w:val="22"/>
          <w:szCs w:val="22"/>
          <w:shd w:val="clear" w:color="auto" w:fill="FFFFFF"/>
        </w:rPr>
        <w:t>, Prashant Kumar</w:t>
      </w:r>
      <w:r w:rsidRPr="00597B1C">
        <w:rPr>
          <w:rFonts w:ascii="Arial" w:hAnsi="Arial" w:cs="Arial"/>
          <w:sz w:val="22"/>
          <w:szCs w:val="22"/>
          <w:shd w:val="clear" w:color="auto" w:fill="FFFFFF"/>
          <w:vertAlign w:val="superscript"/>
        </w:rPr>
        <w:t>3,4</w:t>
      </w:r>
      <w:r w:rsidRPr="00597B1C">
        <w:rPr>
          <w:rFonts w:ascii="Arial" w:hAnsi="Arial" w:cs="Arial"/>
          <w:sz w:val="22"/>
          <w:szCs w:val="22"/>
          <w:shd w:val="clear" w:color="auto" w:fill="FFFFFF"/>
        </w:rPr>
        <w:t xml:space="preserve">, </w:t>
      </w:r>
      <w:proofErr w:type="spellStart"/>
      <w:r w:rsidRPr="00597B1C">
        <w:rPr>
          <w:rFonts w:ascii="Arial" w:hAnsi="Arial" w:cs="Arial"/>
          <w:sz w:val="22"/>
          <w:szCs w:val="22"/>
          <w:shd w:val="clear" w:color="auto" w:fill="FFFFFF"/>
        </w:rPr>
        <w:t>Radmila</w:t>
      </w:r>
      <w:proofErr w:type="spellEnd"/>
      <w:r w:rsidRPr="00597B1C">
        <w:rPr>
          <w:rFonts w:ascii="Arial" w:hAnsi="Arial" w:cs="Arial"/>
          <w:sz w:val="22"/>
          <w:szCs w:val="22"/>
          <w:shd w:val="clear" w:color="auto" w:fill="FFFFFF"/>
        </w:rPr>
        <w:t xml:space="preserve"> </w:t>
      </w:r>
      <w:proofErr w:type="spellStart"/>
      <w:r w:rsidRPr="00597B1C">
        <w:rPr>
          <w:rFonts w:ascii="Arial" w:hAnsi="Arial" w:cs="Arial"/>
          <w:sz w:val="22"/>
          <w:szCs w:val="22"/>
          <w:shd w:val="clear" w:color="auto" w:fill="FFFFFF"/>
        </w:rPr>
        <w:t>Milačič</w:t>
      </w:r>
      <w:proofErr w:type="spellEnd"/>
      <w:r w:rsidRPr="00597B1C">
        <w:rPr>
          <w:rFonts w:ascii="Arial" w:hAnsi="Arial" w:cs="Arial"/>
          <w:sz w:val="22"/>
          <w:szCs w:val="22"/>
          <w:shd w:val="clear" w:color="auto" w:fill="FFFFFF"/>
        </w:rPr>
        <w:t xml:space="preserve"> Ščančar</w:t>
      </w:r>
      <w:r w:rsidRPr="00597B1C">
        <w:rPr>
          <w:rFonts w:ascii="Arial" w:hAnsi="Arial" w:cs="Arial"/>
          <w:sz w:val="22"/>
          <w:szCs w:val="22"/>
          <w:shd w:val="clear" w:color="auto" w:fill="FFFFFF"/>
          <w:vertAlign w:val="superscript"/>
        </w:rPr>
        <w:t>2,5</w:t>
      </w:r>
      <w:r w:rsidRPr="00597B1C">
        <w:rPr>
          <w:rFonts w:ascii="Arial" w:hAnsi="Arial" w:cs="Arial"/>
          <w:sz w:val="22"/>
          <w:szCs w:val="22"/>
          <w:shd w:val="clear" w:color="auto" w:fill="FFFFFF"/>
        </w:rPr>
        <w:t xml:space="preserve">, </w:t>
      </w:r>
      <w:proofErr w:type="spellStart"/>
      <w:r w:rsidRPr="00597B1C">
        <w:rPr>
          <w:rFonts w:ascii="Arial" w:hAnsi="Arial" w:cs="Arial"/>
          <w:sz w:val="22"/>
          <w:szCs w:val="22"/>
          <w:shd w:val="clear" w:color="auto" w:fill="FFFFFF"/>
        </w:rPr>
        <w:t>Marija</w:t>
      </w:r>
      <w:proofErr w:type="spellEnd"/>
      <w:r w:rsidRPr="00597B1C">
        <w:rPr>
          <w:rFonts w:ascii="Arial" w:hAnsi="Arial" w:cs="Arial"/>
          <w:sz w:val="22"/>
          <w:szCs w:val="22"/>
          <w:shd w:val="clear" w:color="auto" w:fill="FFFFFF"/>
        </w:rPr>
        <w:t xml:space="preserve"> Đurić</w:t>
      </w:r>
      <w:r w:rsidRPr="00597B1C">
        <w:rPr>
          <w:rFonts w:ascii="Arial" w:hAnsi="Arial" w:cs="Arial"/>
          <w:sz w:val="22"/>
          <w:szCs w:val="22"/>
          <w:shd w:val="clear" w:color="auto" w:fill="FFFFFF"/>
          <w:vertAlign w:val="superscript"/>
        </w:rPr>
        <w:t>1</w:t>
      </w:r>
      <w:r w:rsidRPr="00597B1C">
        <w:rPr>
          <w:rFonts w:ascii="Arial" w:hAnsi="Arial" w:cs="Arial"/>
          <w:sz w:val="22"/>
          <w:szCs w:val="22"/>
          <w:shd w:val="clear" w:color="auto" w:fill="FFFFFF"/>
        </w:rPr>
        <w:t>, Alenka Mauko Pranjić</w:t>
      </w:r>
      <w:r w:rsidRPr="00597B1C">
        <w:rPr>
          <w:rFonts w:ascii="Arial" w:hAnsi="Arial" w:cs="Arial"/>
          <w:sz w:val="22"/>
          <w:szCs w:val="22"/>
          <w:shd w:val="clear" w:color="auto" w:fill="FFFFFF"/>
          <w:vertAlign w:val="superscript"/>
        </w:rPr>
        <w:t>1</w:t>
      </w:r>
      <w:r w:rsidRPr="00597B1C">
        <w:rPr>
          <w:rFonts w:ascii="Arial" w:hAnsi="Arial" w:cs="Arial"/>
          <w:sz w:val="22"/>
          <w:szCs w:val="22"/>
          <w:shd w:val="clear" w:color="auto" w:fill="FFFFFF"/>
        </w:rPr>
        <w:t>, Janez Ščančar</w:t>
      </w:r>
      <w:r w:rsidRPr="00597B1C">
        <w:rPr>
          <w:rFonts w:ascii="Arial" w:hAnsi="Arial" w:cs="Arial"/>
          <w:sz w:val="22"/>
          <w:szCs w:val="22"/>
          <w:shd w:val="clear" w:color="auto" w:fill="FFFFFF"/>
          <w:vertAlign w:val="superscript"/>
        </w:rPr>
        <w:t>2,5</w:t>
      </w:r>
    </w:p>
    <w:p w14:paraId="1ABC8160" w14:textId="77777777" w:rsidR="006751F9" w:rsidRPr="00597B1C" w:rsidRDefault="006751F9" w:rsidP="006751F9">
      <w:pPr>
        <w:pStyle w:val="NormalWeb"/>
        <w:spacing w:before="0" w:beforeAutospacing="0" w:after="0" w:afterAutospacing="0" w:line="480" w:lineRule="auto"/>
        <w:jc w:val="both"/>
        <w:rPr>
          <w:rFonts w:ascii="Arial" w:hAnsi="Arial" w:cs="Arial"/>
          <w:sz w:val="22"/>
          <w:szCs w:val="22"/>
        </w:rPr>
      </w:pPr>
      <w:r w:rsidRPr="00597B1C">
        <w:rPr>
          <w:rFonts w:ascii="Arial" w:hAnsi="Arial" w:cs="Arial"/>
          <w:sz w:val="22"/>
          <w:szCs w:val="22"/>
        </w:rPr>
        <w:t>*</w:t>
      </w:r>
      <w:r>
        <w:rPr>
          <w:rFonts w:ascii="Arial" w:hAnsi="Arial" w:cs="Arial"/>
          <w:sz w:val="22"/>
          <w:szCs w:val="22"/>
        </w:rPr>
        <w:t>C</w:t>
      </w:r>
      <w:r w:rsidRPr="00597B1C">
        <w:rPr>
          <w:rFonts w:ascii="Arial" w:hAnsi="Arial" w:cs="Arial"/>
          <w:sz w:val="22"/>
          <w:szCs w:val="22"/>
        </w:rPr>
        <w:t xml:space="preserve">orresponding author: Anja </w:t>
      </w:r>
      <w:proofErr w:type="spellStart"/>
      <w:r w:rsidRPr="00597B1C">
        <w:rPr>
          <w:rFonts w:ascii="Arial" w:hAnsi="Arial" w:cs="Arial"/>
          <w:sz w:val="22"/>
          <w:szCs w:val="22"/>
        </w:rPr>
        <w:t>Ilenič</w:t>
      </w:r>
      <w:proofErr w:type="spellEnd"/>
      <w:r w:rsidRPr="00597B1C">
        <w:rPr>
          <w:rFonts w:ascii="Arial" w:hAnsi="Arial" w:cs="Arial"/>
          <w:sz w:val="22"/>
          <w:szCs w:val="22"/>
        </w:rPr>
        <w:t xml:space="preserve"> (</w:t>
      </w:r>
      <w:hyperlink r:id="rId9" w:history="1">
        <w:r w:rsidRPr="00597B1C">
          <w:rPr>
            <w:rStyle w:val="Hyperlink"/>
            <w:rFonts w:ascii="Arial" w:hAnsi="Arial" w:cs="Arial"/>
            <w:sz w:val="22"/>
            <w:szCs w:val="22"/>
          </w:rPr>
          <w:t>anja.ilenic@zag.si</w:t>
        </w:r>
      </w:hyperlink>
      <w:r w:rsidRPr="00597B1C">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Dimičeva</w:t>
      </w:r>
      <w:proofErr w:type="spellEnd"/>
      <w:r>
        <w:rPr>
          <w:rFonts w:ascii="Arial" w:hAnsi="Arial" w:cs="Arial"/>
          <w:sz w:val="22"/>
          <w:szCs w:val="22"/>
        </w:rPr>
        <w:t xml:space="preserve"> </w:t>
      </w:r>
      <w:proofErr w:type="spellStart"/>
      <w:r>
        <w:rPr>
          <w:rFonts w:ascii="Arial" w:hAnsi="Arial" w:cs="Arial"/>
          <w:sz w:val="22"/>
          <w:szCs w:val="22"/>
        </w:rPr>
        <w:t>ulica</w:t>
      </w:r>
      <w:proofErr w:type="spellEnd"/>
      <w:r>
        <w:rPr>
          <w:rFonts w:ascii="Arial" w:hAnsi="Arial" w:cs="Arial"/>
          <w:sz w:val="22"/>
          <w:szCs w:val="22"/>
        </w:rPr>
        <w:t xml:space="preserve"> 12, 1000 Ljubljana, Slovenia</w:t>
      </w:r>
    </w:p>
    <w:p w14:paraId="4CBBFCB7" w14:textId="77777777" w:rsidR="006751F9" w:rsidRPr="00597B1C" w:rsidRDefault="006751F9" w:rsidP="006751F9">
      <w:pPr>
        <w:pStyle w:val="NormalWeb"/>
        <w:spacing w:before="0" w:beforeAutospacing="0" w:after="0" w:afterAutospacing="0" w:line="480" w:lineRule="auto"/>
        <w:jc w:val="both"/>
        <w:rPr>
          <w:rFonts w:ascii="Arial" w:hAnsi="Arial" w:cs="Arial"/>
          <w:sz w:val="22"/>
          <w:szCs w:val="22"/>
        </w:rPr>
      </w:pPr>
    </w:p>
    <w:p w14:paraId="62DAE533" w14:textId="77777777" w:rsidR="006751F9" w:rsidRPr="00597B1C" w:rsidRDefault="006751F9" w:rsidP="006751F9">
      <w:pPr>
        <w:pStyle w:val="NormalWeb"/>
        <w:spacing w:before="0" w:beforeAutospacing="0" w:after="0" w:afterAutospacing="0" w:line="480" w:lineRule="auto"/>
        <w:rPr>
          <w:rFonts w:ascii="Arial" w:hAnsi="Arial" w:cs="Arial"/>
          <w:sz w:val="22"/>
          <w:szCs w:val="22"/>
          <w:shd w:val="clear" w:color="auto" w:fill="FFFFFF"/>
        </w:rPr>
      </w:pPr>
      <w:r w:rsidRPr="00597B1C">
        <w:rPr>
          <w:rFonts w:ascii="Arial" w:hAnsi="Arial" w:cs="Arial"/>
          <w:sz w:val="22"/>
          <w:szCs w:val="22"/>
          <w:shd w:val="clear" w:color="auto" w:fill="FFFFFF"/>
          <w:vertAlign w:val="superscript"/>
        </w:rPr>
        <w:t>1</w:t>
      </w:r>
      <w:r w:rsidRPr="00597B1C">
        <w:rPr>
          <w:rFonts w:ascii="Arial" w:hAnsi="Arial" w:cs="Arial"/>
          <w:sz w:val="22"/>
          <w:szCs w:val="22"/>
          <w:shd w:val="clear" w:color="auto" w:fill="FFFFFF"/>
        </w:rPr>
        <w:t xml:space="preserve">Slovenian National Building and Civil Engineering Institute (ZAG), </w:t>
      </w:r>
      <w:proofErr w:type="spellStart"/>
      <w:r w:rsidRPr="00597B1C">
        <w:rPr>
          <w:rFonts w:ascii="Arial" w:hAnsi="Arial" w:cs="Arial"/>
          <w:sz w:val="22"/>
          <w:szCs w:val="22"/>
          <w:shd w:val="clear" w:color="auto" w:fill="FFFFFF"/>
        </w:rPr>
        <w:t>Dimičeva</w:t>
      </w:r>
      <w:proofErr w:type="spellEnd"/>
      <w:r w:rsidRPr="00597B1C">
        <w:rPr>
          <w:rFonts w:ascii="Arial" w:hAnsi="Arial" w:cs="Arial"/>
          <w:sz w:val="22"/>
          <w:szCs w:val="22"/>
          <w:shd w:val="clear" w:color="auto" w:fill="FFFFFF"/>
        </w:rPr>
        <w:t xml:space="preserve"> </w:t>
      </w:r>
      <w:proofErr w:type="spellStart"/>
      <w:r w:rsidRPr="00597B1C">
        <w:rPr>
          <w:rFonts w:ascii="Arial" w:hAnsi="Arial" w:cs="Arial"/>
          <w:sz w:val="22"/>
          <w:szCs w:val="22"/>
          <w:shd w:val="clear" w:color="auto" w:fill="FFFFFF"/>
        </w:rPr>
        <w:t>ulica</w:t>
      </w:r>
      <w:proofErr w:type="spellEnd"/>
      <w:r w:rsidRPr="00597B1C">
        <w:rPr>
          <w:rFonts w:ascii="Arial" w:hAnsi="Arial" w:cs="Arial"/>
          <w:sz w:val="22"/>
          <w:szCs w:val="22"/>
          <w:shd w:val="clear" w:color="auto" w:fill="FFFFFF"/>
        </w:rPr>
        <w:t xml:space="preserve"> 12, 1000 Ljubljana, Slovenia</w:t>
      </w:r>
    </w:p>
    <w:p w14:paraId="0297C4E0" w14:textId="77777777" w:rsidR="006751F9" w:rsidRPr="00597B1C" w:rsidRDefault="006751F9" w:rsidP="006751F9">
      <w:pPr>
        <w:pStyle w:val="NormalWeb"/>
        <w:spacing w:before="0" w:beforeAutospacing="0" w:after="0" w:afterAutospacing="0" w:line="480" w:lineRule="auto"/>
        <w:jc w:val="both"/>
        <w:rPr>
          <w:rFonts w:ascii="Arial" w:hAnsi="Arial" w:cs="Arial"/>
          <w:sz w:val="22"/>
          <w:szCs w:val="22"/>
          <w:shd w:val="clear" w:color="auto" w:fill="FFFFFF"/>
        </w:rPr>
      </w:pPr>
      <w:r w:rsidRPr="00597B1C">
        <w:rPr>
          <w:rFonts w:ascii="Arial" w:hAnsi="Arial" w:cs="Arial"/>
          <w:sz w:val="22"/>
          <w:szCs w:val="22"/>
          <w:shd w:val="clear" w:color="auto" w:fill="FFFFFF"/>
          <w:vertAlign w:val="superscript"/>
        </w:rPr>
        <w:t>2</w:t>
      </w:r>
      <w:r w:rsidRPr="00597B1C">
        <w:rPr>
          <w:rFonts w:ascii="Arial" w:hAnsi="Arial" w:cs="Arial"/>
          <w:sz w:val="22"/>
          <w:szCs w:val="22"/>
          <w:shd w:val="clear" w:color="auto" w:fill="FFFFFF"/>
        </w:rPr>
        <w:t xml:space="preserve">Jožef Stefan International Postgraduate School, </w:t>
      </w:r>
      <w:proofErr w:type="spellStart"/>
      <w:r w:rsidRPr="00597B1C">
        <w:rPr>
          <w:rFonts w:ascii="Arial" w:hAnsi="Arial" w:cs="Arial"/>
          <w:sz w:val="22"/>
          <w:szCs w:val="22"/>
          <w:shd w:val="clear" w:color="auto" w:fill="FFFFFF"/>
        </w:rPr>
        <w:t>Jamova</w:t>
      </w:r>
      <w:proofErr w:type="spellEnd"/>
      <w:r w:rsidRPr="00597B1C">
        <w:rPr>
          <w:rFonts w:ascii="Arial" w:hAnsi="Arial" w:cs="Arial"/>
          <w:sz w:val="22"/>
          <w:szCs w:val="22"/>
          <w:shd w:val="clear" w:color="auto" w:fill="FFFFFF"/>
        </w:rPr>
        <w:t xml:space="preserve"> </w:t>
      </w:r>
      <w:proofErr w:type="spellStart"/>
      <w:r w:rsidRPr="00597B1C">
        <w:rPr>
          <w:rFonts w:ascii="Arial" w:hAnsi="Arial" w:cs="Arial"/>
          <w:sz w:val="22"/>
          <w:szCs w:val="22"/>
          <w:shd w:val="clear" w:color="auto" w:fill="FFFFFF"/>
        </w:rPr>
        <w:t>cesta</w:t>
      </w:r>
      <w:proofErr w:type="spellEnd"/>
      <w:r w:rsidRPr="00597B1C">
        <w:rPr>
          <w:rFonts w:ascii="Arial" w:hAnsi="Arial" w:cs="Arial"/>
          <w:sz w:val="22"/>
          <w:szCs w:val="22"/>
          <w:shd w:val="clear" w:color="auto" w:fill="FFFFFF"/>
        </w:rPr>
        <w:t xml:space="preserve"> 39, 1000 Ljubljana, Slovenia</w:t>
      </w:r>
    </w:p>
    <w:p w14:paraId="136875B5" w14:textId="77777777" w:rsidR="006751F9" w:rsidRPr="00597B1C" w:rsidRDefault="006751F9" w:rsidP="006751F9">
      <w:pPr>
        <w:pStyle w:val="NormalWeb"/>
        <w:spacing w:before="0" w:beforeAutospacing="0" w:after="0" w:afterAutospacing="0" w:line="480" w:lineRule="auto"/>
        <w:jc w:val="both"/>
        <w:rPr>
          <w:sz w:val="22"/>
          <w:szCs w:val="22"/>
        </w:rPr>
      </w:pPr>
      <w:r w:rsidRPr="00597B1C">
        <w:rPr>
          <w:rFonts w:ascii="Arial" w:hAnsi="Arial" w:cs="Arial"/>
          <w:sz w:val="22"/>
          <w:szCs w:val="22"/>
          <w:shd w:val="clear" w:color="auto" w:fill="FFFFFF"/>
          <w:vertAlign w:val="superscript"/>
        </w:rPr>
        <w:t>3</w:t>
      </w:r>
      <w:r w:rsidRPr="00597B1C">
        <w:rPr>
          <w:rFonts w:ascii="Arial" w:hAnsi="Arial" w:cs="Arial"/>
          <w:sz w:val="22"/>
          <w:szCs w:val="22"/>
          <w:shd w:val="clear" w:color="auto" w:fill="FFFFFF"/>
        </w:rPr>
        <w:t>Global Centre for Clean Air Research (GCARE), School of Engineering, Civil and Environmental Engineering, Faculty of Engineering and Physical Sciences, University of Surrey, GU2 7XH Guildford, United Kingdom</w:t>
      </w:r>
    </w:p>
    <w:p w14:paraId="29785A4E" w14:textId="77777777" w:rsidR="006751F9" w:rsidRPr="00597B1C" w:rsidRDefault="006751F9" w:rsidP="006751F9">
      <w:pPr>
        <w:pStyle w:val="NormalWeb"/>
        <w:spacing w:before="0" w:beforeAutospacing="0" w:after="0" w:afterAutospacing="0" w:line="480" w:lineRule="auto"/>
        <w:jc w:val="both"/>
        <w:rPr>
          <w:rFonts w:ascii="Arial" w:hAnsi="Arial" w:cs="Arial"/>
          <w:sz w:val="22"/>
          <w:szCs w:val="22"/>
          <w:shd w:val="clear" w:color="auto" w:fill="FFFFFF"/>
        </w:rPr>
      </w:pPr>
      <w:r w:rsidRPr="00597B1C">
        <w:rPr>
          <w:rFonts w:ascii="Arial" w:hAnsi="Arial" w:cs="Arial"/>
          <w:sz w:val="22"/>
          <w:szCs w:val="22"/>
          <w:shd w:val="clear" w:color="auto" w:fill="FFFFFF"/>
          <w:vertAlign w:val="superscript"/>
        </w:rPr>
        <w:t>4</w:t>
      </w:r>
      <w:r w:rsidRPr="00597B1C">
        <w:rPr>
          <w:rFonts w:ascii="Arial" w:hAnsi="Arial" w:cs="Arial"/>
          <w:sz w:val="22"/>
          <w:szCs w:val="22"/>
          <w:shd w:val="clear" w:color="auto" w:fill="FFFFFF"/>
        </w:rPr>
        <w:t>Institute for Sustainability, University of Surrey, GU2 7XH Guildford, United Kingdom</w:t>
      </w:r>
    </w:p>
    <w:p w14:paraId="092D19A3" w14:textId="77777777" w:rsidR="006751F9" w:rsidRPr="00597B1C" w:rsidRDefault="006751F9" w:rsidP="006751F9">
      <w:pPr>
        <w:pStyle w:val="NormalWeb"/>
        <w:spacing w:before="0" w:beforeAutospacing="0" w:after="0" w:afterAutospacing="0" w:line="480" w:lineRule="auto"/>
        <w:jc w:val="both"/>
        <w:rPr>
          <w:rFonts w:ascii="Arial" w:hAnsi="Arial" w:cs="Arial"/>
          <w:sz w:val="22"/>
          <w:szCs w:val="22"/>
        </w:rPr>
      </w:pPr>
      <w:r w:rsidRPr="00597B1C">
        <w:rPr>
          <w:rFonts w:ascii="Arial" w:hAnsi="Arial" w:cs="Arial"/>
          <w:sz w:val="22"/>
          <w:szCs w:val="22"/>
          <w:shd w:val="clear" w:color="auto" w:fill="FFFFFF"/>
          <w:vertAlign w:val="superscript"/>
        </w:rPr>
        <w:t>5</w:t>
      </w:r>
      <w:r w:rsidRPr="00597B1C">
        <w:rPr>
          <w:rFonts w:ascii="Arial" w:hAnsi="Arial" w:cs="Arial"/>
          <w:sz w:val="22"/>
          <w:szCs w:val="22"/>
        </w:rPr>
        <w:t xml:space="preserve">Institute </w:t>
      </w:r>
      <w:proofErr w:type="spellStart"/>
      <w:r w:rsidRPr="00597B1C">
        <w:rPr>
          <w:rFonts w:ascii="Arial" w:hAnsi="Arial" w:cs="Arial"/>
          <w:sz w:val="22"/>
          <w:szCs w:val="22"/>
        </w:rPr>
        <w:t>Jožef</w:t>
      </w:r>
      <w:proofErr w:type="spellEnd"/>
      <w:r w:rsidRPr="00597B1C">
        <w:rPr>
          <w:rFonts w:ascii="Arial" w:hAnsi="Arial" w:cs="Arial"/>
          <w:sz w:val="22"/>
          <w:szCs w:val="22"/>
        </w:rPr>
        <w:t xml:space="preserve"> Stefan, </w:t>
      </w:r>
      <w:proofErr w:type="spellStart"/>
      <w:r w:rsidRPr="00597B1C">
        <w:rPr>
          <w:rFonts w:ascii="Arial" w:hAnsi="Arial" w:cs="Arial"/>
          <w:sz w:val="22"/>
          <w:szCs w:val="22"/>
        </w:rPr>
        <w:t>Jamova</w:t>
      </w:r>
      <w:proofErr w:type="spellEnd"/>
      <w:r w:rsidRPr="00597B1C">
        <w:rPr>
          <w:rFonts w:ascii="Arial" w:hAnsi="Arial" w:cs="Arial"/>
          <w:sz w:val="22"/>
          <w:szCs w:val="22"/>
        </w:rPr>
        <w:t xml:space="preserve"> </w:t>
      </w:r>
      <w:proofErr w:type="spellStart"/>
      <w:r w:rsidRPr="00597B1C">
        <w:rPr>
          <w:rFonts w:ascii="Arial" w:hAnsi="Arial" w:cs="Arial"/>
          <w:sz w:val="22"/>
          <w:szCs w:val="22"/>
        </w:rPr>
        <w:t>cesta</w:t>
      </w:r>
      <w:proofErr w:type="spellEnd"/>
      <w:r w:rsidRPr="00597B1C">
        <w:rPr>
          <w:rFonts w:ascii="Arial" w:hAnsi="Arial" w:cs="Arial"/>
          <w:sz w:val="22"/>
          <w:szCs w:val="22"/>
        </w:rPr>
        <w:t xml:space="preserve"> 39, 1000 Ljubljana, Slovenia</w:t>
      </w:r>
    </w:p>
    <w:p w14:paraId="08A353E9" w14:textId="2B7E1E36" w:rsidR="006751F9" w:rsidRDefault="006751F9" w:rsidP="00C9504C">
      <w:pPr>
        <w:spacing w:after="0" w:line="480" w:lineRule="auto"/>
        <w:jc w:val="both"/>
        <w:rPr>
          <w:rFonts w:ascii="Arial" w:hAnsi="Arial" w:cs="Arial"/>
          <w:b/>
        </w:rPr>
      </w:pPr>
      <w:r>
        <w:rPr>
          <w:rFonts w:ascii="Arial" w:hAnsi="Arial" w:cs="Arial"/>
          <w:b/>
        </w:rPr>
        <w:br w:type="page"/>
      </w:r>
    </w:p>
    <w:p w14:paraId="2059D19D" w14:textId="6A281AA5" w:rsidR="006751F9" w:rsidRDefault="006751F9" w:rsidP="00C9504C">
      <w:pPr>
        <w:spacing w:after="0" w:line="480" w:lineRule="auto"/>
        <w:jc w:val="both"/>
        <w:rPr>
          <w:rFonts w:ascii="Arial" w:hAnsi="Arial" w:cs="Arial"/>
          <w:b/>
        </w:rPr>
      </w:pPr>
      <w:r>
        <w:rPr>
          <w:rFonts w:ascii="Arial" w:hAnsi="Arial" w:cs="Arial"/>
          <w:b/>
        </w:rPr>
        <w:lastRenderedPageBreak/>
        <w:t>Table S1</w:t>
      </w:r>
    </w:p>
    <w:p w14:paraId="1163689F" w14:textId="20934BDC" w:rsidR="006751F9" w:rsidRDefault="006751F9" w:rsidP="006751F9">
      <w:pPr>
        <w:spacing w:after="0" w:line="480" w:lineRule="auto"/>
        <w:rPr>
          <w:rFonts w:ascii="Arial" w:hAnsi="Arial" w:cs="Arial"/>
        </w:rPr>
      </w:pPr>
      <w:r w:rsidRPr="002F3F50">
        <w:rPr>
          <w:rFonts w:ascii="Arial" w:hAnsi="Arial" w:cs="Arial"/>
        </w:rPr>
        <w:t>Overview of</w:t>
      </w:r>
      <w:r>
        <w:rPr>
          <w:rFonts w:ascii="Arial" w:hAnsi="Arial" w:cs="Arial"/>
        </w:rPr>
        <w:t xml:space="preserve"> the</w:t>
      </w:r>
      <w:r w:rsidRPr="002F3F50">
        <w:rPr>
          <w:rFonts w:ascii="Arial" w:hAnsi="Arial" w:cs="Arial"/>
        </w:rPr>
        <w:t xml:space="preserve"> sampling and analytical techniques</w:t>
      </w:r>
      <w:r>
        <w:rPr>
          <w:rFonts w:ascii="Arial" w:hAnsi="Arial" w:cs="Arial"/>
        </w:rPr>
        <w:t xml:space="preserve"> in the included studies</w:t>
      </w:r>
      <w:r w:rsidRPr="002F3F50">
        <w:rPr>
          <w:rFonts w:ascii="Arial" w:hAnsi="Arial" w:cs="Arial"/>
        </w:rPr>
        <w:t xml:space="preserve">. </w:t>
      </w:r>
    </w:p>
    <w:p w14:paraId="45013340" w14:textId="346C6246" w:rsidR="006751F9" w:rsidRDefault="006751F9" w:rsidP="00C9504C">
      <w:pPr>
        <w:spacing w:after="0" w:line="480" w:lineRule="auto"/>
        <w:jc w:val="both"/>
        <w:rPr>
          <w:rFonts w:ascii="Arial" w:hAnsi="Arial" w:cs="Arial"/>
          <w:b/>
        </w:rPr>
      </w:pPr>
    </w:p>
    <w:tbl>
      <w:tblPr>
        <w:tblW w:w="14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417"/>
        <w:gridCol w:w="1191"/>
        <w:gridCol w:w="1134"/>
        <w:gridCol w:w="1134"/>
        <w:gridCol w:w="737"/>
        <w:gridCol w:w="794"/>
        <w:gridCol w:w="1191"/>
        <w:gridCol w:w="1134"/>
        <w:gridCol w:w="1134"/>
        <w:gridCol w:w="1077"/>
        <w:gridCol w:w="907"/>
        <w:gridCol w:w="1247"/>
        <w:gridCol w:w="907"/>
      </w:tblGrid>
      <w:tr w:rsidR="006751F9" w:rsidRPr="00AE1E24" w14:paraId="63B9C00D" w14:textId="77777777" w:rsidTr="00420FF2">
        <w:trPr>
          <w:trHeight w:val="300"/>
          <w:jc w:val="center"/>
        </w:trPr>
        <w:tc>
          <w:tcPr>
            <w:tcW w:w="737" w:type="dxa"/>
            <w:tcBorders>
              <w:left w:val="single" w:sz="4" w:space="0" w:color="auto"/>
            </w:tcBorders>
            <w:shd w:val="clear" w:color="auto" w:fill="auto"/>
            <w:noWrap/>
            <w:hideMark/>
          </w:tcPr>
          <w:p w14:paraId="2E92F9B4"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PM</w:t>
            </w:r>
          </w:p>
        </w:tc>
        <w:tc>
          <w:tcPr>
            <w:tcW w:w="1417" w:type="dxa"/>
            <w:shd w:val="clear" w:color="auto" w:fill="auto"/>
            <w:noWrap/>
            <w:hideMark/>
          </w:tcPr>
          <w:p w14:paraId="5782478E"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Location</w:t>
            </w:r>
          </w:p>
        </w:tc>
        <w:tc>
          <w:tcPr>
            <w:tcW w:w="1191" w:type="dxa"/>
            <w:shd w:val="clear" w:color="auto" w:fill="auto"/>
            <w:noWrap/>
            <w:hideMark/>
          </w:tcPr>
          <w:p w14:paraId="3BFFF245"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Sampler height</w:t>
            </w:r>
          </w:p>
        </w:tc>
        <w:tc>
          <w:tcPr>
            <w:tcW w:w="1134" w:type="dxa"/>
            <w:shd w:val="clear" w:color="auto" w:fill="auto"/>
            <w:noWrap/>
            <w:hideMark/>
          </w:tcPr>
          <w:p w14:paraId="64FE192E"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Time (sample number)</w:t>
            </w:r>
          </w:p>
        </w:tc>
        <w:tc>
          <w:tcPr>
            <w:tcW w:w="1134" w:type="dxa"/>
            <w:shd w:val="clear" w:color="auto" w:fill="auto"/>
            <w:noWrap/>
            <w:hideMark/>
          </w:tcPr>
          <w:p w14:paraId="0318EAEE"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Sampler type</w:t>
            </w:r>
          </w:p>
        </w:tc>
        <w:tc>
          <w:tcPr>
            <w:tcW w:w="737" w:type="dxa"/>
            <w:shd w:val="clear" w:color="auto" w:fill="auto"/>
            <w:noWrap/>
            <w:hideMark/>
          </w:tcPr>
          <w:p w14:paraId="6DF9718B"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Flow rate</w:t>
            </w:r>
          </w:p>
        </w:tc>
        <w:tc>
          <w:tcPr>
            <w:tcW w:w="794" w:type="dxa"/>
            <w:shd w:val="clear" w:color="auto" w:fill="auto"/>
            <w:noWrap/>
            <w:hideMark/>
          </w:tcPr>
          <w:p w14:paraId="1585CD79"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Filter type</w:t>
            </w:r>
          </w:p>
        </w:tc>
        <w:tc>
          <w:tcPr>
            <w:tcW w:w="1191" w:type="dxa"/>
            <w:shd w:val="clear" w:color="auto" w:fill="auto"/>
            <w:noWrap/>
            <w:hideMark/>
          </w:tcPr>
          <w:p w14:paraId="49285B9F"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Pollutant</w:t>
            </w:r>
          </w:p>
        </w:tc>
        <w:tc>
          <w:tcPr>
            <w:tcW w:w="1134" w:type="dxa"/>
          </w:tcPr>
          <w:p w14:paraId="2C4FB33C"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Analysis</w:t>
            </w:r>
          </w:p>
        </w:tc>
        <w:tc>
          <w:tcPr>
            <w:tcW w:w="1134" w:type="dxa"/>
            <w:shd w:val="clear" w:color="auto" w:fill="auto"/>
            <w:noWrap/>
            <w:hideMark/>
          </w:tcPr>
          <w:p w14:paraId="089BE1C9"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Method</w:t>
            </w:r>
          </w:p>
        </w:tc>
        <w:tc>
          <w:tcPr>
            <w:tcW w:w="1077" w:type="dxa"/>
            <w:shd w:val="clear" w:color="auto" w:fill="auto"/>
            <w:noWrap/>
            <w:hideMark/>
          </w:tcPr>
          <w:p w14:paraId="5F319F74"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QA/QC</w:t>
            </w:r>
          </w:p>
        </w:tc>
        <w:tc>
          <w:tcPr>
            <w:tcW w:w="907" w:type="dxa"/>
          </w:tcPr>
          <w:p w14:paraId="0DBF1144"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CRM</w:t>
            </w:r>
          </w:p>
        </w:tc>
        <w:tc>
          <w:tcPr>
            <w:tcW w:w="1247" w:type="dxa"/>
          </w:tcPr>
          <w:p w14:paraId="7606154C"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Calc.</w:t>
            </w:r>
          </w:p>
        </w:tc>
        <w:tc>
          <w:tcPr>
            <w:tcW w:w="907" w:type="dxa"/>
            <w:tcBorders>
              <w:right w:val="single" w:sz="4" w:space="0" w:color="auto"/>
            </w:tcBorders>
          </w:tcPr>
          <w:p w14:paraId="626BFC45" w14:textId="77777777" w:rsidR="006751F9" w:rsidRPr="00C9504C" w:rsidRDefault="006751F9" w:rsidP="00420FF2">
            <w:pPr>
              <w:spacing w:after="0" w:line="240" w:lineRule="exact"/>
              <w:jc w:val="center"/>
              <w:rPr>
                <w:rFonts w:ascii="Arial" w:hAnsi="Arial" w:cs="Arial"/>
                <w:b/>
                <w:bCs/>
                <w:sz w:val="20"/>
                <w:szCs w:val="20"/>
                <w:lang w:val="en-US"/>
              </w:rPr>
            </w:pPr>
            <w:r w:rsidRPr="00C9504C">
              <w:rPr>
                <w:rFonts w:ascii="Arial" w:hAnsi="Arial" w:cs="Arial"/>
                <w:b/>
                <w:bCs/>
                <w:sz w:val="20"/>
                <w:szCs w:val="20"/>
                <w:lang w:val="en-US"/>
              </w:rPr>
              <w:t>Ref.</w:t>
            </w:r>
          </w:p>
        </w:tc>
      </w:tr>
      <w:tr w:rsidR="006751F9" w:rsidRPr="00AE1E24" w14:paraId="293EA1AE" w14:textId="77777777" w:rsidTr="00420FF2">
        <w:trPr>
          <w:trHeight w:val="300"/>
          <w:jc w:val="center"/>
        </w:trPr>
        <w:tc>
          <w:tcPr>
            <w:tcW w:w="737" w:type="dxa"/>
            <w:tcBorders>
              <w:left w:val="single" w:sz="4" w:space="0" w:color="auto"/>
            </w:tcBorders>
            <w:shd w:val="clear" w:color="auto" w:fill="auto"/>
            <w:noWrap/>
          </w:tcPr>
          <w:p w14:paraId="68099C85"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PM</w:t>
            </w:r>
            <w:r w:rsidRPr="00C9504C">
              <w:rPr>
                <w:rFonts w:ascii="Arial" w:hAnsi="Arial" w:cs="Arial"/>
                <w:color w:val="000000" w:themeColor="text1"/>
                <w:sz w:val="20"/>
                <w:szCs w:val="20"/>
                <w:vertAlign w:val="subscript"/>
                <w:lang w:val="en-US"/>
              </w:rPr>
              <w:t>2.5</w:t>
            </w:r>
          </w:p>
        </w:tc>
        <w:tc>
          <w:tcPr>
            <w:tcW w:w="1417" w:type="dxa"/>
            <w:shd w:val="clear" w:color="auto" w:fill="auto"/>
            <w:noWrap/>
          </w:tcPr>
          <w:p w14:paraId="53C68670"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Agra, India</w:t>
            </w:r>
          </w:p>
        </w:tc>
        <w:tc>
          <w:tcPr>
            <w:tcW w:w="1191" w:type="dxa"/>
            <w:shd w:val="clear" w:color="auto" w:fill="auto"/>
          </w:tcPr>
          <w:p w14:paraId="022054A7" w14:textId="77777777" w:rsidR="006751F9" w:rsidRPr="00C9504C" w:rsidRDefault="006751F9" w:rsidP="00420FF2">
            <w:pPr>
              <w:spacing w:after="0" w:line="240" w:lineRule="exact"/>
              <w:jc w:val="center"/>
              <w:rPr>
                <w:rFonts w:ascii="Arial" w:hAnsi="Arial" w:cs="Arial"/>
                <w:i/>
                <w:color w:val="000000" w:themeColor="text1"/>
                <w:sz w:val="20"/>
                <w:szCs w:val="20"/>
                <w:lang w:val="en-US"/>
              </w:rPr>
            </w:pPr>
            <w:r w:rsidRPr="00C9504C">
              <w:rPr>
                <w:rFonts w:ascii="Arial" w:hAnsi="Arial" w:cs="Arial"/>
                <w:i/>
                <w:color w:val="000000" w:themeColor="text1"/>
                <w:sz w:val="20"/>
                <w:szCs w:val="20"/>
                <w:lang w:val="en-US"/>
              </w:rPr>
              <w:t>nr</w:t>
            </w:r>
          </w:p>
        </w:tc>
        <w:tc>
          <w:tcPr>
            <w:tcW w:w="1134" w:type="dxa"/>
            <w:shd w:val="clear" w:color="auto" w:fill="auto"/>
            <w:noWrap/>
          </w:tcPr>
          <w:p w14:paraId="2D5C359A"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Dec. 2015–Feb. 2017 (27)</w:t>
            </w:r>
          </w:p>
        </w:tc>
        <w:tc>
          <w:tcPr>
            <w:tcW w:w="1134" w:type="dxa"/>
            <w:shd w:val="clear" w:color="auto" w:fill="auto"/>
            <w:noWrap/>
          </w:tcPr>
          <w:p w14:paraId="458131DC"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LVS</w:t>
            </w:r>
          </w:p>
        </w:tc>
        <w:tc>
          <w:tcPr>
            <w:tcW w:w="737" w:type="dxa"/>
            <w:shd w:val="clear" w:color="auto" w:fill="auto"/>
            <w:noWrap/>
          </w:tcPr>
          <w:p w14:paraId="08629865"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16.6 L min</w:t>
            </w:r>
            <w:r w:rsidRPr="00C9504C">
              <w:rPr>
                <w:rFonts w:ascii="Arial" w:hAnsi="Arial" w:cs="Arial"/>
                <w:color w:val="000000" w:themeColor="text1"/>
                <w:sz w:val="20"/>
                <w:szCs w:val="20"/>
                <w:vertAlign w:val="superscript"/>
                <w:lang w:val="en-US"/>
              </w:rPr>
              <w:t>−1</w:t>
            </w:r>
          </w:p>
        </w:tc>
        <w:tc>
          <w:tcPr>
            <w:tcW w:w="794" w:type="dxa"/>
            <w:shd w:val="clear" w:color="auto" w:fill="auto"/>
            <w:noWrap/>
          </w:tcPr>
          <w:p w14:paraId="497D1B81"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QFF</w:t>
            </w:r>
          </w:p>
        </w:tc>
        <w:tc>
          <w:tcPr>
            <w:tcW w:w="1191" w:type="dxa"/>
            <w:shd w:val="clear" w:color="auto" w:fill="auto"/>
            <w:noWrap/>
          </w:tcPr>
          <w:p w14:paraId="5F950245"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Metal</w:t>
            </w:r>
          </w:p>
        </w:tc>
        <w:tc>
          <w:tcPr>
            <w:tcW w:w="1134" w:type="dxa"/>
          </w:tcPr>
          <w:p w14:paraId="72850C2C"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ICP-OES</w:t>
            </w:r>
          </w:p>
        </w:tc>
        <w:tc>
          <w:tcPr>
            <w:tcW w:w="1134" w:type="dxa"/>
            <w:shd w:val="clear" w:color="auto" w:fill="auto"/>
            <w:noWrap/>
          </w:tcPr>
          <w:p w14:paraId="7530DE88"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HP with HNO</w:t>
            </w:r>
            <w:r w:rsidRPr="00C9504C">
              <w:rPr>
                <w:rFonts w:ascii="Arial" w:hAnsi="Arial" w:cs="Arial"/>
                <w:color w:val="000000" w:themeColor="text1"/>
                <w:sz w:val="20"/>
                <w:szCs w:val="20"/>
                <w:vertAlign w:val="subscript"/>
                <w:lang w:val="en-US"/>
              </w:rPr>
              <w:t>3</w:t>
            </w:r>
          </w:p>
        </w:tc>
        <w:tc>
          <w:tcPr>
            <w:tcW w:w="1077" w:type="dxa"/>
            <w:shd w:val="clear" w:color="auto" w:fill="auto"/>
            <w:noWrap/>
          </w:tcPr>
          <w:p w14:paraId="6ED5ECA2"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 xml:space="preserve">RSD: </w:t>
            </w:r>
          </w:p>
          <w:p w14:paraId="1FE3EBFA"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5</w:t>
            </w:r>
            <w:r>
              <w:rPr>
                <w:rFonts w:ascii="Arial" w:hAnsi="Arial" w:cs="Arial"/>
                <w:color w:val="000000" w:themeColor="text1"/>
                <w:sz w:val="20"/>
                <w:szCs w:val="20"/>
                <w:lang w:val="en-US"/>
              </w:rPr>
              <w:t>%</w:t>
            </w:r>
            <w:r w:rsidRPr="00C9504C">
              <w:rPr>
                <w:rFonts w:ascii="Arial" w:hAnsi="Arial" w:cs="Arial"/>
                <w:color w:val="000000" w:themeColor="text1"/>
                <w:sz w:val="20"/>
                <w:szCs w:val="20"/>
                <w:lang w:val="en-US"/>
              </w:rPr>
              <w:t>−8%</w:t>
            </w:r>
          </w:p>
        </w:tc>
        <w:tc>
          <w:tcPr>
            <w:tcW w:w="907" w:type="dxa"/>
          </w:tcPr>
          <w:p w14:paraId="05E0A9AB" w14:textId="77777777" w:rsidR="006751F9" w:rsidRPr="00C9504C" w:rsidRDefault="006751F9" w:rsidP="00420FF2">
            <w:pPr>
              <w:spacing w:after="0" w:line="240" w:lineRule="exact"/>
              <w:jc w:val="center"/>
              <w:rPr>
                <w:rFonts w:ascii="Arial" w:hAnsi="Arial" w:cs="Arial"/>
                <w:i/>
                <w:color w:val="000000" w:themeColor="text1"/>
                <w:sz w:val="20"/>
                <w:szCs w:val="20"/>
                <w:lang w:val="en-US"/>
              </w:rPr>
            </w:pPr>
            <w:r w:rsidRPr="00C9504C">
              <w:rPr>
                <w:rFonts w:ascii="Arial" w:hAnsi="Arial" w:cs="Arial"/>
                <w:i/>
                <w:color w:val="000000" w:themeColor="text1"/>
                <w:sz w:val="20"/>
                <w:szCs w:val="20"/>
                <w:lang w:val="en-US"/>
              </w:rPr>
              <w:t>nr</w:t>
            </w:r>
          </w:p>
        </w:tc>
        <w:tc>
          <w:tcPr>
            <w:tcW w:w="1247" w:type="dxa"/>
          </w:tcPr>
          <w:p w14:paraId="16D9C26A"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PCA, LADD, ILCR, HQ</w:t>
            </w:r>
          </w:p>
        </w:tc>
        <w:tc>
          <w:tcPr>
            <w:tcW w:w="907" w:type="dxa"/>
            <w:tcBorders>
              <w:right w:val="single" w:sz="4" w:space="0" w:color="auto"/>
            </w:tcBorders>
          </w:tcPr>
          <w:p w14:paraId="3B042650"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fldChar w:fldCharType="begin"/>
            </w:r>
            <w:r>
              <w:rPr>
                <w:rFonts w:ascii="Arial" w:hAnsi="Arial" w:cs="Arial"/>
                <w:color w:val="000000" w:themeColor="text1"/>
                <w:sz w:val="20"/>
                <w:szCs w:val="20"/>
                <w:lang w:val="en-US"/>
              </w:rPr>
              <w:instrText xml:space="preserve"> ADDIN ZOTERO_ITEM CSL_CITATION {"citationID":"tsRn5ObZ","properties":{"formattedCitation":"(21)","plainCitation":"(21)","dontUpdate":true,"noteIndex":0},"citationItems":[{"id":1085,"uris":["http://zotero.org/users/12446040/items/S36YJXUJ"],"itemData":{"id":1085,"type":"article-journal","abstract":"A study was conducted at a campus site of Agra to determine the metals in fine mode particles (PM2.5) and assess their associated health effects in adults and children during the period from 7th December 2015 to 17th February 2016. PM2.5 mass concentrations (190μg/m3 and 132μg/m3) exceeded the air quality standards of India by a factor of 3.2 and 2.2 during the foggy and non-foggy days, respectively. Total concentration varied from 11.9μg/m3 to 40.6μg/m3 during the fog period and from 5.7μg/m3 to 25.8μg/m3 during the non-foggy period for seventeen metals (including metals with concentration &gt;1μg/m3, 0.1–1μg/m3, 0.01–0.1μg/m3 and &lt;0.01μg/m3) with maximum contribution from K and minimum from Co. At this site in winter, coal and biomass combustion, vehicular emissions, crustal dust and iron producing industrial processes were identified as the major contributors to metals as determined by correlation analysis and Principal Component Analysis. Cr and Mn showed the highest carcinogenic and non-carcinogenic risks. Cumulated non-carcinogenic risk in children (HI: 3.90 for foggy days; HI: 2.74 for non-foggy days) was higher compared to the adults (HI: 1.81 for foggy days; HI: 1.29 for non-foggy days) during both periods while the cumulated effect of carcinogenic risk was higher for adults (ILCR: 2.25E−04) than for children (ILCR: 1.31E−04).","container-title":"Atmospheric Research","DOI":"10.1016/j.atmosres.2017.06.027","ISSN":"0169-8095","journalAbbreviation":"Atmospheric Research","page":"121-131","source":"ScienceDirect","title":"Characterization, sources and health risk analysis of PM2.5 bound metals during foggy and non-foggy days in sub-urban atmosphere of Agra","volume":"197","author":[{"family":"Agarwal","given":"Awni"},{"family":"Mangal","given":"Ankita"},{"family":"Satsangi","given":"Aparna"},{"family":"Lakhani","given":"Anita"},{"family":"Maharaj Kumari","given":"K."}],"issued":{"date-parts":[["2017",11,15]]}}}],"schema":"https://github.com/citation-style-language/schema/raw/master/csl-citation.json"} </w:instrText>
            </w:r>
            <w:r w:rsidRPr="00C9504C">
              <w:rPr>
                <w:rFonts w:ascii="Arial" w:hAnsi="Arial" w:cs="Arial"/>
                <w:color w:val="000000" w:themeColor="text1"/>
                <w:sz w:val="20"/>
                <w:szCs w:val="20"/>
                <w:lang w:val="en-US"/>
              </w:rPr>
              <w:fldChar w:fldCharType="separate"/>
            </w:r>
            <w:r w:rsidRPr="00C9504C">
              <w:rPr>
                <w:rFonts w:ascii="Arial" w:hAnsi="Arial" w:cs="Arial"/>
                <w:sz w:val="20"/>
                <w:szCs w:val="20"/>
              </w:rPr>
              <w:t>[21]</w:t>
            </w:r>
            <w:r w:rsidRPr="00C9504C">
              <w:rPr>
                <w:rFonts w:ascii="Arial" w:hAnsi="Arial" w:cs="Arial"/>
                <w:color w:val="000000" w:themeColor="text1"/>
                <w:sz w:val="20"/>
                <w:szCs w:val="20"/>
              </w:rPr>
              <w:fldChar w:fldCharType="end"/>
            </w:r>
          </w:p>
        </w:tc>
      </w:tr>
      <w:tr w:rsidR="006751F9" w:rsidRPr="00AE1E24" w14:paraId="1D5B7492" w14:textId="77777777" w:rsidTr="00420FF2">
        <w:trPr>
          <w:trHeight w:val="300"/>
          <w:jc w:val="center"/>
        </w:trPr>
        <w:tc>
          <w:tcPr>
            <w:tcW w:w="737" w:type="dxa"/>
            <w:tcBorders>
              <w:left w:val="single" w:sz="4" w:space="0" w:color="auto"/>
            </w:tcBorders>
            <w:shd w:val="clear" w:color="auto" w:fill="auto"/>
            <w:noWrap/>
          </w:tcPr>
          <w:p w14:paraId="62CD6926"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PM</w:t>
            </w:r>
            <w:r w:rsidRPr="00C9504C">
              <w:rPr>
                <w:rFonts w:ascii="Arial" w:hAnsi="Arial" w:cs="Arial"/>
                <w:color w:val="000000" w:themeColor="text1"/>
                <w:sz w:val="20"/>
                <w:szCs w:val="20"/>
                <w:vertAlign w:val="subscript"/>
                <w:lang w:val="en-US"/>
              </w:rPr>
              <w:t>2.5</w:t>
            </w:r>
          </w:p>
        </w:tc>
        <w:tc>
          <w:tcPr>
            <w:tcW w:w="1417" w:type="dxa"/>
            <w:shd w:val="clear" w:color="auto" w:fill="auto"/>
            <w:noWrap/>
          </w:tcPr>
          <w:p w14:paraId="7D47C7F1"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Bushehr Port, Iran</w:t>
            </w:r>
          </w:p>
        </w:tc>
        <w:tc>
          <w:tcPr>
            <w:tcW w:w="1191" w:type="dxa"/>
            <w:shd w:val="clear" w:color="auto" w:fill="auto"/>
          </w:tcPr>
          <w:p w14:paraId="45CE7365" w14:textId="77777777" w:rsidR="006751F9" w:rsidRPr="00C9504C" w:rsidRDefault="006751F9" w:rsidP="00420FF2">
            <w:pPr>
              <w:spacing w:after="0" w:line="240" w:lineRule="exact"/>
              <w:jc w:val="center"/>
              <w:rPr>
                <w:rFonts w:ascii="Arial" w:hAnsi="Arial" w:cs="Arial"/>
                <w:i/>
                <w:color w:val="000000" w:themeColor="text1"/>
                <w:sz w:val="20"/>
                <w:szCs w:val="20"/>
                <w:lang w:val="en-US"/>
              </w:rPr>
            </w:pPr>
            <w:r w:rsidRPr="00C9504C">
              <w:rPr>
                <w:rFonts w:ascii="Arial" w:hAnsi="Arial" w:cs="Arial"/>
                <w:color w:val="000000" w:themeColor="text1"/>
                <w:sz w:val="20"/>
                <w:szCs w:val="20"/>
                <w:lang w:val="en-US"/>
              </w:rPr>
              <w:t>EL</w:t>
            </w:r>
          </w:p>
        </w:tc>
        <w:tc>
          <w:tcPr>
            <w:tcW w:w="1134" w:type="dxa"/>
            <w:shd w:val="clear" w:color="auto" w:fill="auto"/>
            <w:noWrap/>
          </w:tcPr>
          <w:p w14:paraId="1C2DB380"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Dec. 2016−</w:t>
            </w:r>
          </w:p>
          <w:p w14:paraId="204BE5C2"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Sep. 2017 (46)</w:t>
            </w:r>
          </w:p>
        </w:tc>
        <w:tc>
          <w:tcPr>
            <w:tcW w:w="1134" w:type="dxa"/>
            <w:shd w:val="clear" w:color="auto" w:fill="auto"/>
            <w:noWrap/>
          </w:tcPr>
          <w:p w14:paraId="1AB9F60E"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HVS</w:t>
            </w:r>
          </w:p>
        </w:tc>
        <w:tc>
          <w:tcPr>
            <w:tcW w:w="737" w:type="dxa"/>
            <w:shd w:val="clear" w:color="auto" w:fill="auto"/>
            <w:noWrap/>
          </w:tcPr>
          <w:p w14:paraId="6B2141DD"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1.4−1.6 m</w:t>
            </w:r>
            <w:r w:rsidRPr="00C9504C">
              <w:rPr>
                <w:rFonts w:ascii="Arial" w:hAnsi="Arial" w:cs="Arial"/>
                <w:color w:val="000000" w:themeColor="text1"/>
                <w:sz w:val="20"/>
                <w:szCs w:val="20"/>
                <w:vertAlign w:val="superscript"/>
                <w:lang w:val="en-US"/>
              </w:rPr>
              <w:t>3</w:t>
            </w:r>
            <w:r w:rsidRPr="00C9504C">
              <w:rPr>
                <w:rFonts w:ascii="Arial" w:hAnsi="Arial" w:cs="Arial"/>
                <w:color w:val="000000" w:themeColor="text1"/>
                <w:sz w:val="20"/>
                <w:szCs w:val="20"/>
                <w:lang w:val="en-US"/>
              </w:rPr>
              <w:t xml:space="preserve"> min</w:t>
            </w:r>
            <w:r w:rsidRPr="00C9504C">
              <w:rPr>
                <w:rFonts w:ascii="Arial" w:hAnsi="Arial" w:cs="Arial"/>
                <w:color w:val="000000" w:themeColor="text1"/>
                <w:sz w:val="20"/>
                <w:szCs w:val="20"/>
                <w:vertAlign w:val="superscript"/>
                <w:lang w:val="en-US"/>
              </w:rPr>
              <w:t>−1</w:t>
            </w:r>
          </w:p>
        </w:tc>
        <w:tc>
          <w:tcPr>
            <w:tcW w:w="794" w:type="dxa"/>
            <w:shd w:val="clear" w:color="auto" w:fill="auto"/>
            <w:noWrap/>
          </w:tcPr>
          <w:p w14:paraId="75E89FC3"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QFF</w:t>
            </w:r>
          </w:p>
        </w:tc>
        <w:tc>
          <w:tcPr>
            <w:tcW w:w="1191" w:type="dxa"/>
            <w:shd w:val="clear" w:color="auto" w:fill="auto"/>
            <w:noWrap/>
          </w:tcPr>
          <w:p w14:paraId="7845EC01"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PAH</w:t>
            </w:r>
          </w:p>
        </w:tc>
        <w:tc>
          <w:tcPr>
            <w:tcW w:w="1134" w:type="dxa"/>
          </w:tcPr>
          <w:p w14:paraId="2D7BDF6C"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GC-MS</w:t>
            </w:r>
          </w:p>
        </w:tc>
        <w:tc>
          <w:tcPr>
            <w:tcW w:w="1134" w:type="dxa"/>
            <w:shd w:val="clear" w:color="auto" w:fill="auto"/>
            <w:noWrap/>
          </w:tcPr>
          <w:p w14:paraId="0436EBDC"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ASE with DCM, Ace</w:t>
            </w:r>
          </w:p>
        </w:tc>
        <w:tc>
          <w:tcPr>
            <w:tcW w:w="1077" w:type="dxa"/>
            <w:shd w:val="clear" w:color="auto" w:fill="auto"/>
            <w:noWrap/>
          </w:tcPr>
          <w:p w14:paraId="4A02FE2F"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Rec.: 86</w:t>
            </w:r>
            <w:r w:rsidRPr="0085132E">
              <w:rPr>
                <w:rFonts w:ascii="Arial" w:hAnsi="Arial" w:cs="Arial"/>
                <w:color w:val="000000" w:themeColor="text1"/>
                <w:sz w:val="20"/>
                <w:szCs w:val="20"/>
                <w:lang w:val="en-US"/>
              </w:rPr>
              <w:t>%</w:t>
            </w:r>
            <w:r w:rsidRPr="00C9504C">
              <w:rPr>
                <w:rFonts w:ascii="Arial" w:hAnsi="Arial" w:cs="Arial"/>
                <w:color w:val="000000" w:themeColor="text1"/>
                <w:sz w:val="20"/>
                <w:szCs w:val="20"/>
                <w:lang w:val="en-US"/>
              </w:rPr>
              <w:t>−118%</w:t>
            </w:r>
          </w:p>
        </w:tc>
        <w:tc>
          <w:tcPr>
            <w:tcW w:w="907" w:type="dxa"/>
          </w:tcPr>
          <w:p w14:paraId="6FDE31CE" w14:textId="77777777" w:rsidR="006751F9" w:rsidRPr="00C9504C" w:rsidRDefault="006751F9" w:rsidP="00420FF2">
            <w:pPr>
              <w:spacing w:after="0" w:line="240" w:lineRule="exact"/>
              <w:jc w:val="center"/>
              <w:rPr>
                <w:rFonts w:ascii="Arial" w:hAnsi="Arial" w:cs="Arial"/>
                <w:i/>
                <w:color w:val="000000" w:themeColor="text1"/>
                <w:sz w:val="20"/>
                <w:szCs w:val="20"/>
                <w:lang w:val="en-US"/>
              </w:rPr>
            </w:pPr>
            <w:r w:rsidRPr="00C9504C">
              <w:rPr>
                <w:rFonts w:ascii="Arial" w:hAnsi="Arial" w:cs="Arial"/>
                <w:color w:val="000000" w:themeColor="text1"/>
                <w:sz w:val="20"/>
                <w:szCs w:val="20"/>
                <w:lang w:val="en-US"/>
              </w:rPr>
              <w:t>Yes, not specified</w:t>
            </w:r>
          </w:p>
        </w:tc>
        <w:tc>
          <w:tcPr>
            <w:tcW w:w="1247" w:type="dxa"/>
          </w:tcPr>
          <w:p w14:paraId="3A2998C8"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t xml:space="preserve">DR, PMF, BTA, </w:t>
            </w:r>
            <w:proofErr w:type="spellStart"/>
            <w:r w:rsidRPr="00C9504C">
              <w:rPr>
                <w:rFonts w:ascii="Arial" w:hAnsi="Arial" w:cs="Arial"/>
                <w:color w:val="000000" w:themeColor="text1"/>
                <w:sz w:val="20"/>
                <w:szCs w:val="20"/>
                <w:lang w:val="en-US"/>
              </w:rPr>
              <w:t>BaP</w:t>
            </w:r>
            <w:r w:rsidRPr="00C9504C">
              <w:rPr>
                <w:rFonts w:ascii="Arial" w:hAnsi="Arial" w:cs="Arial"/>
                <w:color w:val="000000" w:themeColor="text1"/>
                <w:sz w:val="20"/>
                <w:szCs w:val="20"/>
                <w:vertAlign w:val="subscript"/>
                <w:lang w:val="en-US"/>
              </w:rPr>
              <w:t>eq</w:t>
            </w:r>
            <w:proofErr w:type="spellEnd"/>
            <w:r w:rsidRPr="00C9504C">
              <w:rPr>
                <w:rFonts w:ascii="Arial" w:hAnsi="Arial" w:cs="Arial"/>
                <w:color w:val="000000" w:themeColor="text1"/>
                <w:sz w:val="20"/>
                <w:szCs w:val="20"/>
                <w:lang w:val="en-US"/>
              </w:rPr>
              <w:t>, LADD, ILCR</w:t>
            </w:r>
          </w:p>
        </w:tc>
        <w:tc>
          <w:tcPr>
            <w:tcW w:w="907" w:type="dxa"/>
            <w:tcBorders>
              <w:right w:val="single" w:sz="4" w:space="0" w:color="auto"/>
            </w:tcBorders>
          </w:tcPr>
          <w:p w14:paraId="68D70EB0" w14:textId="77777777" w:rsidR="006751F9" w:rsidRPr="00C9504C" w:rsidRDefault="006751F9" w:rsidP="00420FF2">
            <w:pPr>
              <w:spacing w:after="0" w:line="240" w:lineRule="exact"/>
              <w:jc w:val="center"/>
              <w:rPr>
                <w:rFonts w:ascii="Arial" w:hAnsi="Arial" w:cs="Arial"/>
                <w:color w:val="000000" w:themeColor="text1"/>
                <w:sz w:val="20"/>
                <w:szCs w:val="20"/>
                <w:lang w:val="en-US"/>
              </w:rPr>
            </w:pPr>
            <w:r w:rsidRPr="00C9504C">
              <w:rPr>
                <w:rFonts w:ascii="Arial" w:hAnsi="Arial" w:cs="Arial"/>
                <w:color w:val="000000" w:themeColor="text1"/>
                <w:sz w:val="20"/>
                <w:szCs w:val="20"/>
                <w:lang w:val="en-US"/>
              </w:rPr>
              <w:fldChar w:fldCharType="begin"/>
            </w:r>
            <w:r>
              <w:rPr>
                <w:rFonts w:ascii="Arial" w:hAnsi="Arial" w:cs="Arial"/>
                <w:color w:val="000000" w:themeColor="text1"/>
                <w:sz w:val="20"/>
                <w:szCs w:val="20"/>
                <w:lang w:val="en-US"/>
              </w:rPr>
              <w:instrText xml:space="preserve"> ADDIN ZOTERO_ITEM CSL_CITATION {"citationID":"8IPm8yzz","properties":{"formattedCitation":"(22)","plainCitation":"(22)","dontUpdate":true,"noteIndex":0},"citationItems":[{"id":344,"uris":["http://zotero.org/users/12446040/items/PI6YH393"],"itemData":{"id":344,"type":"article-journal","abstract":"Exposure to fine particulate matter (PM2.5) and their associated microcontaminants have been linked to increased harmful effects on the human health. In this study, the possible relationships between PM2.5, microplastics (MPs), and polycyclic aromatic hydrocarbons (PAHs) were analyzed in an urban area of Bushehr port, in the northern part of the Persian Gulf. Presence, sources, and health risks of MPs and PAHs in both normal and dusty days were also investigated. The median of PM2.5 and ƩPAHs were 52.8 μg/m3 and 14.1 ng/m3, respectively, indicating high pollution levels especially in dusty days. The mean level of MPs in urban suspended PM2.5 was 5.2 items/m3. Fragments were the most abundant shape of identified MPs and polyethylene terephthalate (PET) was the most plastic types in urban dust of Bushehr port. The results revealed that PM2.5 and MPs may possibly act as a carrier for airborne MPs and PAHs, respectively. In addition, the significant positive relationships between MPs, wind speed and wind direction, confirmed that the MPs transportation were highly controlled by atmospheric condition. Moreover, the source identification methods and trajectory analyses indicated that petrogenic sources from both proximal and distal origins play an important role in the level of PAHs. The results of chronic health risk evaluation via inhalation revealed that PM2.5-bound PAHs had high potential cancer risk in winter, while, the estimated risks for non-carcinogenic PAHs were not considerable. In the case of MPs, the assessment of human intake of MPs via inhalation highlighted the possible risks for habitants.","container-title":"Environmental Research","DOI":"10.1016/j.envres.2020.110339","ISSN":"0013-9351","journalAbbreviation":"Environmental Research","page":"110339","source":"ScienceDirect","title":"Suspended fine particulate matter (PM2.5), microplastics (MPs), and polycyclic aromatic hydrocarbons (PAHs) in air: Their possible relationships and health implications","title-short":"Suspended fine particulate matter (PM2.5), microplastics (MPs), and polycyclic aromatic hydrocarbons (PAHs) in air","volume":"192","author":[{"family":"Akhbarizadeh","given":"Razegheh"},{"family":"Dobaradaran","given":"Sina"},{"family":"Amouei Torkmahalleh","given":"Mehdi"},{"family":"Saeedi","given":"Reza"},{"family":"Aibaghi","given":"Roza"},{"family":"Faraji Ghasemi","given":"Fatemeh"}],"issued":{"date-parts":[["2021",1,1]]}}}],"schema":"https://github.com/citation-style-language/schema/raw/master/csl-citation.json"} </w:instrText>
            </w:r>
            <w:r w:rsidRPr="00C9504C">
              <w:rPr>
                <w:rFonts w:ascii="Arial" w:hAnsi="Arial" w:cs="Arial"/>
                <w:color w:val="000000" w:themeColor="text1"/>
                <w:sz w:val="20"/>
                <w:szCs w:val="20"/>
                <w:lang w:val="en-US"/>
              </w:rPr>
              <w:fldChar w:fldCharType="separate"/>
            </w:r>
            <w:r w:rsidRPr="00C9504C">
              <w:rPr>
                <w:rFonts w:ascii="Arial" w:hAnsi="Arial" w:cs="Arial"/>
                <w:sz w:val="20"/>
                <w:szCs w:val="20"/>
              </w:rPr>
              <w:t>[22]</w:t>
            </w:r>
            <w:r w:rsidRPr="00C9504C">
              <w:rPr>
                <w:rFonts w:ascii="Arial" w:hAnsi="Arial" w:cs="Arial"/>
                <w:color w:val="000000" w:themeColor="text1"/>
                <w:sz w:val="20"/>
                <w:szCs w:val="20"/>
              </w:rPr>
              <w:fldChar w:fldCharType="end"/>
            </w:r>
          </w:p>
        </w:tc>
      </w:tr>
      <w:tr w:rsidR="006751F9" w:rsidRPr="00AE1E24" w14:paraId="6C510CAB" w14:textId="77777777" w:rsidTr="00420FF2">
        <w:trPr>
          <w:trHeight w:val="300"/>
          <w:jc w:val="center"/>
        </w:trPr>
        <w:tc>
          <w:tcPr>
            <w:tcW w:w="737" w:type="dxa"/>
            <w:tcBorders>
              <w:left w:val="single" w:sz="4" w:space="0" w:color="auto"/>
            </w:tcBorders>
            <w:shd w:val="clear" w:color="auto" w:fill="auto"/>
            <w:noWrap/>
          </w:tcPr>
          <w:p w14:paraId="5893B777"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35F23370"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Birmingham, United Kingdom</w:t>
            </w:r>
          </w:p>
        </w:tc>
        <w:tc>
          <w:tcPr>
            <w:tcW w:w="1191" w:type="dxa"/>
            <w:shd w:val="clear" w:color="auto" w:fill="auto"/>
          </w:tcPr>
          <w:p w14:paraId="27AC160C" w14:textId="77777777" w:rsidR="006751F9" w:rsidRPr="00C9504C" w:rsidRDefault="006751F9" w:rsidP="00420FF2">
            <w:pPr>
              <w:spacing w:after="0" w:line="240" w:lineRule="exact"/>
              <w:jc w:val="center"/>
              <w:rPr>
                <w:rFonts w:ascii="Arial" w:hAnsi="Arial" w:cs="Arial"/>
                <w:b/>
                <w:i/>
                <w:sz w:val="20"/>
                <w:szCs w:val="20"/>
                <w:lang w:val="en-US"/>
              </w:rPr>
            </w:pPr>
            <w:r w:rsidRPr="00C9504C">
              <w:rPr>
                <w:rFonts w:ascii="Arial" w:hAnsi="Arial" w:cs="Arial"/>
                <w:i/>
                <w:sz w:val="20"/>
                <w:szCs w:val="20"/>
                <w:lang w:val="en-US"/>
              </w:rPr>
              <w:t>nr</w:t>
            </w:r>
          </w:p>
        </w:tc>
        <w:tc>
          <w:tcPr>
            <w:tcW w:w="1134" w:type="dxa"/>
            <w:shd w:val="clear" w:color="auto" w:fill="auto"/>
            <w:noWrap/>
          </w:tcPr>
          <w:p w14:paraId="0FD69358"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Aug. 2012, Jan. 2014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35DF474C"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HVS</w:t>
            </w:r>
          </w:p>
        </w:tc>
        <w:tc>
          <w:tcPr>
            <w:tcW w:w="737" w:type="dxa"/>
            <w:shd w:val="clear" w:color="auto" w:fill="auto"/>
            <w:noWrap/>
          </w:tcPr>
          <w:p w14:paraId="51BF0E84"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500 L min</w:t>
            </w:r>
            <w:r w:rsidRPr="00C9504C">
              <w:rPr>
                <w:rFonts w:ascii="Arial" w:hAnsi="Arial" w:cs="Arial"/>
                <w:sz w:val="20"/>
                <w:szCs w:val="20"/>
                <w:vertAlign w:val="superscript"/>
                <w:lang w:val="en-US"/>
              </w:rPr>
              <w:t>−1</w:t>
            </w:r>
          </w:p>
        </w:tc>
        <w:tc>
          <w:tcPr>
            <w:tcW w:w="794" w:type="dxa"/>
            <w:shd w:val="clear" w:color="auto" w:fill="auto"/>
            <w:noWrap/>
          </w:tcPr>
          <w:p w14:paraId="299CCAFA"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QFF</w:t>
            </w:r>
          </w:p>
        </w:tc>
        <w:tc>
          <w:tcPr>
            <w:tcW w:w="1191" w:type="dxa"/>
            <w:shd w:val="clear" w:color="auto" w:fill="auto"/>
            <w:noWrap/>
          </w:tcPr>
          <w:p w14:paraId="7F23974F"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PAH</w:t>
            </w:r>
          </w:p>
        </w:tc>
        <w:tc>
          <w:tcPr>
            <w:tcW w:w="1134" w:type="dxa"/>
          </w:tcPr>
          <w:p w14:paraId="13709E46"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GC-MS</w:t>
            </w:r>
          </w:p>
        </w:tc>
        <w:tc>
          <w:tcPr>
            <w:tcW w:w="1134" w:type="dxa"/>
            <w:shd w:val="clear" w:color="auto" w:fill="auto"/>
            <w:noWrap/>
          </w:tcPr>
          <w:p w14:paraId="62749E8C"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UAE with DCM</w:t>
            </w:r>
          </w:p>
        </w:tc>
        <w:tc>
          <w:tcPr>
            <w:tcW w:w="1077" w:type="dxa"/>
            <w:shd w:val="clear" w:color="auto" w:fill="auto"/>
            <w:noWrap/>
          </w:tcPr>
          <w:p w14:paraId="2EF346C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Prec.: </w:t>
            </w:r>
          </w:p>
          <w:p w14:paraId="45EE81E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&lt;10%</w:t>
            </w:r>
          </w:p>
          <w:p w14:paraId="69F962D0"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Acc.: 6</w:t>
            </w:r>
            <w:r w:rsidRPr="0085132E">
              <w:rPr>
                <w:rFonts w:ascii="Arial" w:hAnsi="Arial" w:cs="Arial"/>
                <w:color w:val="000000" w:themeColor="text1"/>
                <w:sz w:val="20"/>
                <w:szCs w:val="20"/>
                <w:lang w:val="en-US"/>
              </w:rPr>
              <w:t>%</w:t>
            </w:r>
            <w:r w:rsidRPr="00C9504C">
              <w:rPr>
                <w:rFonts w:ascii="Arial" w:hAnsi="Arial" w:cs="Arial"/>
                <w:sz w:val="20"/>
                <w:szCs w:val="20"/>
                <w:lang w:val="en-US"/>
              </w:rPr>
              <w:t>−25%</w:t>
            </w:r>
          </w:p>
        </w:tc>
        <w:tc>
          <w:tcPr>
            <w:tcW w:w="907" w:type="dxa"/>
          </w:tcPr>
          <w:p w14:paraId="1F50A9BE" w14:textId="77777777" w:rsidR="006751F9" w:rsidRPr="00C9504C" w:rsidRDefault="006751F9" w:rsidP="00420FF2">
            <w:pPr>
              <w:spacing w:after="0" w:line="240" w:lineRule="exact"/>
              <w:jc w:val="center"/>
              <w:rPr>
                <w:rFonts w:ascii="Arial" w:hAnsi="Arial" w:cs="Arial"/>
                <w:b/>
                <w:i/>
                <w:sz w:val="20"/>
                <w:szCs w:val="20"/>
                <w:lang w:val="en-US"/>
              </w:rPr>
            </w:pPr>
            <w:r w:rsidRPr="00C9504C">
              <w:rPr>
                <w:rFonts w:ascii="Arial" w:hAnsi="Arial" w:cs="Arial"/>
                <w:sz w:val="20"/>
                <w:szCs w:val="20"/>
                <w:lang w:val="en-US"/>
              </w:rPr>
              <w:t>NIST SRM 1649a</w:t>
            </w:r>
          </w:p>
        </w:tc>
        <w:tc>
          <w:tcPr>
            <w:tcW w:w="1247" w:type="dxa"/>
          </w:tcPr>
          <w:p w14:paraId="748CB23D"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t>DR</w:t>
            </w:r>
          </w:p>
        </w:tc>
        <w:tc>
          <w:tcPr>
            <w:tcW w:w="907" w:type="dxa"/>
            <w:tcBorders>
              <w:right w:val="single" w:sz="4" w:space="0" w:color="auto"/>
            </w:tcBorders>
          </w:tcPr>
          <w:p w14:paraId="549ED4A8"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{"citationID":"gI6GXZiL","properties":{"formattedCitation":"(16)","plainCitation":"(16)","dontUpdate":true,"noteIndex":0},"citationItems":[{"id":1176,"uris":["http://zotero.org/users/12446040/items/MBPPX75T"],"itemData":{"id":1176,"type":"article-journal","abstract":"Polycyclic aromatic hydrocarbons (PAH) and their nitro and oxy derivatives have been sampled every three hours over one week in winter at two sites in Birmingham UK. One site is heavily influenced by road traffic and is close to residential dwellings, while the other site is a background urban location at some distance from both sources of emission. The time series of concentrations has been examined along with the ratio of concentrations between the two sampling sites. A comparison of averaged diurnal profiles has shown different patterns of behaviour which has been investigated through calculating ratios of concentration at 18:00–21:00 h relative to that at 06:00–09:00 h. This allows identification of those compounds with a strong contribution to a traffic-related maximum at 06:00–09:00 h which are predominantly the low molecular weight PAHs, together with a substantial group of quinones and nitro-PAHs. Changes in partitioning between vapour and particulate forms are unlikely to influence the ratio as the mean temperature at both times was almost identical. Most compounds show an appreciable increase in concentrations in the evening which is attributed to residential heating emissions. Compounds dominated by this source show high ratios of 18:00–21:00 concentrations relative to 06:00–09:00 concentrations and include higher molecular weight PAH and a substantial group of both quinones and nitro-PAH. The behaviour of retene, normally taken as an indicator of biomass burning, is suggestive of wood smoke only being one contributor to the evening peak in PAH and their derivatives, with coal combustion presumably being the other main contributor. Variations of PAH concentrations with wind speed show a dilution behaviour consistent with other primary pollutants, and high concentrations of a range of air pollutants were observed in an episode of low temperatures and low wind speeds towards the end of the overall sampling period consistent with poor local dispersion processes. Results from a short summer campaign give indications of the formation of some nitro-PAH by atmospheric chemical reactions.","container-title":"Atmospheric Environment","DOI":"10.1016/j.atmosenv.2015.09.050","ISSN":"1352-2310","journalAbbreviation":"Atmospheric Environment","page":"427-438","source":"ScienceDirect","title":"Diurnal variability of polycyclic aromatic compound (PAC) concentrations: Relationship with meteorological conditions and inferred sources","title-short":"Diurnal variability of polycyclic aromatic compound (PAC) concentrations","volume":"122","author":[{"family":"Alam","given":"Mohammed S."},{"family":"Keyte","given":"Ian J."},{"family":"Yin","given":"Jianxin"},{"family":"Stark","given":"Christopher"},{"family":"Jones","given":"Alan M."},{"family":"Harrison","given":"Roy M."}],"issued":{"date-parts":[["2015",12,1]]}}}],"schema":"https://github.com/citation-style-language/schema/raw/master/csl-citation.json"}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[16]</w:t>
            </w:r>
            <w:r w:rsidRPr="00C9504C">
              <w:rPr>
                <w:rFonts w:ascii="Arial" w:hAnsi="Arial" w:cs="Arial"/>
                <w:sz w:val="20"/>
                <w:szCs w:val="20"/>
              </w:rPr>
              <w:fldChar w:fldCharType="end"/>
            </w:r>
          </w:p>
        </w:tc>
      </w:tr>
      <w:tr w:rsidR="006751F9" w:rsidRPr="00AE1E24" w14:paraId="0468EC89" w14:textId="77777777" w:rsidTr="00420FF2">
        <w:trPr>
          <w:trHeight w:val="300"/>
          <w:jc w:val="center"/>
        </w:trPr>
        <w:tc>
          <w:tcPr>
            <w:tcW w:w="737" w:type="dxa"/>
            <w:tcBorders>
              <w:left w:val="single" w:sz="4" w:space="0" w:color="auto"/>
            </w:tcBorders>
            <w:shd w:val="clear" w:color="auto" w:fill="auto"/>
            <w:noWrap/>
          </w:tcPr>
          <w:p w14:paraId="7C5FDB9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0477A67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Florence, Italy; Athens, Greece; Oporto, Portugal</w:t>
            </w:r>
          </w:p>
        </w:tc>
        <w:tc>
          <w:tcPr>
            <w:tcW w:w="1191" w:type="dxa"/>
            <w:shd w:val="clear" w:color="auto" w:fill="auto"/>
          </w:tcPr>
          <w:p w14:paraId="7D3AEEA3"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134" w:type="dxa"/>
            <w:shd w:val="clear" w:color="auto" w:fill="auto"/>
            <w:noWrap/>
          </w:tcPr>
          <w:p w14:paraId="58E1CC4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2013–Feb. 2014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696619A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 HVS</w:t>
            </w:r>
          </w:p>
        </w:tc>
        <w:tc>
          <w:tcPr>
            <w:tcW w:w="737" w:type="dxa"/>
            <w:shd w:val="clear" w:color="auto" w:fill="auto"/>
            <w:noWrap/>
          </w:tcPr>
          <w:p w14:paraId="0CF30A6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r w:rsidRPr="00C9504C">
              <w:rPr>
                <w:rFonts w:ascii="Arial" w:hAnsi="Arial" w:cs="Arial"/>
                <w:sz w:val="20"/>
                <w:szCs w:val="20"/>
                <w:lang w:val="en-US"/>
              </w:rPr>
              <w:t>, 1113 L min</w:t>
            </w:r>
            <w:r w:rsidRPr="00C9504C">
              <w:rPr>
                <w:rFonts w:ascii="Arial" w:hAnsi="Arial" w:cs="Arial"/>
                <w:sz w:val="20"/>
                <w:szCs w:val="20"/>
                <w:vertAlign w:val="superscript"/>
                <w:lang w:val="en-US"/>
              </w:rPr>
              <w:t>−1</w:t>
            </w:r>
          </w:p>
        </w:tc>
        <w:tc>
          <w:tcPr>
            <w:tcW w:w="794" w:type="dxa"/>
            <w:shd w:val="clear" w:color="auto" w:fill="auto"/>
            <w:noWrap/>
          </w:tcPr>
          <w:p w14:paraId="62E349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4493B1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710AFFB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4E00C3C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DCM, Ace</w:t>
            </w:r>
          </w:p>
        </w:tc>
        <w:tc>
          <w:tcPr>
            <w:tcW w:w="1077" w:type="dxa"/>
            <w:shd w:val="clear" w:color="auto" w:fill="auto"/>
            <w:noWrap/>
          </w:tcPr>
          <w:p w14:paraId="0E63A16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 57</w:t>
            </w:r>
            <w:r w:rsidRPr="0085132E">
              <w:rPr>
                <w:rFonts w:ascii="Arial" w:hAnsi="Arial" w:cs="Arial"/>
                <w:color w:val="000000" w:themeColor="text1"/>
                <w:sz w:val="20"/>
                <w:szCs w:val="20"/>
                <w:lang w:val="en-US"/>
              </w:rPr>
              <w:t>%</w:t>
            </w:r>
            <w:r w:rsidRPr="00C9504C">
              <w:rPr>
                <w:rFonts w:ascii="Arial" w:hAnsi="Arial" w:cs="Arial"/>
                <w:sz w:val="20"/>
                <w:szCs w:val="20"/>
                <w:lang w:val="en-US"/>
              </w:rPr>
              <w:t>−154%</w:t>
            </w:r>
          </w:p>
        </w:tc>
        <w:tc>
          <w:tcPr>
            <w:tcW w:w="907" w:type="dxa"/>
          </w:tcPr>
          <w:p w14:paraId="1F33CCC7"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2143B866"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 DR</w:t>
            </w:r>
          </w:p>
        </w:tc>
        <w:tc>
          <w:tcPr>
            <w:tcW w:w="907" w:type="dxa"/>
            <w:tcBorders>
              <w:right w:val="single" w:sz="4" w:space="0" w:color="auto"/>
            </w:tcBorders>
          </w:tcPr>
          <w:p w14:paraId="3E05ED2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{"citationID":"pa4QTR1h","properties":{"formattedCitation":"(11)","plainCitation":"(11)","dontUpdate":true,"noteIndex":0},"citationItems":[{"id":572,"uris":["http://zotero.org/users/12446040/items/RY53EFNM"],"itemData":{"id":572,"type":"article-journal","abstract":"Atmospheric particulate matter (PM2.5) samples were collected over two one month periods during winter and summer in three Southern European cities (Oporto – traffic site, Florence – urban background, Athens - suburban). Concentrations of 27 polycyclic aromatic hydrocarbons (PAHs), 15 nitro-PAHs (NPAHs), 15 oxygenated-PAHs (OPAHs) and 4 azaarenes (AZAs) were determined. On average, the winter-summer concentrations of ΣPAHs were 16.3–5.60, 7.75–3.02 and 3.44–0.658ngm−3 in Oporto, Florence and Athens, respectively. The corresponding concentrations of ΣNPAHs were 15.8–9.15, 10.9–3.36 and 15.9–2.73ngm−3, whilst ΣOPAHs varied in the ranges 41.8–19.0, 11.3–3.10 and 12.6–0.704ngm−3. Concentrations of ΣAZAs were always below 0.5ngm−3. Irrespective of the city, the dominant PAHs were benzo[b+j+k]fluoranthene, retene, benzo[ghi]perylene and indeno[1,2,3-cd]pyrene. The most abundant OPAH in all cities was 1,8-naphthalic anhydride, whereas 5-nitroacenaphthene was the prevailing NPAH. The ΣOPAHs/ΣPAHs and ΣNPAHs/ΣPAHs were higher in summer than in winter, suggesting increasing formation of derivatives by photochemical degradation of PAHs. Molecular diagnostic ratios suggested that, after traffic, biomass burning was the dominant emission source. Apart from being influenced by seasonal sources, the marked differences between winter and summer may indicate that these diagnostic ratios are particularly sensitive to photodegradation, and thus should be applied and interpreted cautiously. The lifetime excess cancer risk from inhalation was, in part, attributable to PAH derivatives, acclaiming the need to include these compounds in regular monitoring programmes. On average, 206, 88 and 26 cancer cases per million people were estimated, by the World Health Organisation method, for the traffic-impacted, urban background and suburban atmospheres of Oporto, Florence and Athens, respectively.","container-title":"Science of The Total Environment","DOI":"10.1016/j.scitotenv.2017.03.256","ISSN":"0048-9697","journalAbbreviation":"Science of The Total Environment","page":"494-504","source":"ScienceDirect","title":"Polycyclic aromatic hydrocarbons and their derivatives (nitro-PAHs, oxygenated PAHs, and azaarenes) in PM2.5 from Southern European cities","volume":"595","author":[{"family":"Alves","given":"Célia A."},{"family":"Vicente","given":"Ana M."},{"family":"Custódio","given":"Danilo"},{"family":"Cerqueira","given":"Mário"},{"family":"Nunes","given":"Teresa"},{"family":"Pio","given":"Casimiro"},{"family":"Lucarelli","given":"Franco"},{"family":"Calzolai","given":"Giulia"},{"family":"Nava","given":"Silvia"},{"family":"Diapouli","given":"Evangelia"},{"family":"Eleftheriadis","given":"Konstantinos"},{"family":"Querol","given":"Xavier"},{"family":"Musa Bandowe","given":"Benjamin A."}],"issued":{"date-parts":[["2017",10,1]]}}}],"schema":"https://github.com/citation-style-language/schema/raw/master/csl-citation.json"}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[11</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1AD2327A" w14:textId="77777777" w:rsidTr="00420FF2">
        <w:trPr>
          <w:trHeight w:val="300"/>
          <w:jc w:val="center"/>
        </w:trPr>
        <w:tc>
          <w:tcPr>
            <w:tcW w:w="737" w:type="dxa"/>
            <w:shd w:val="clear" w:color="auto" w:fill="auto"/>
            <w:noWrap/>
          </w:tcPr>
          <w:p w14:paraId="4846E9A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637FB4F7"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Gamharia</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Bokaro</w:t>
            </w:r>
            <w:proofErr w:type="spellEnd"/>
            <w:r w:rsidRPr="00C9504C">
              <w:rPr>
                <w:rFonts w:ascii="Arial" w:hAnsi="Arial" w:cs="Arial"/>
                <w:sz w:val="20"/>
                <w:szCs w:val="20"/>
                <w:lang w:val="en-US"/>
              </w:rPr>
              <w:t xml:space="preserve"> Steel City, Ranchi, India</w:t>
            </w:r>
          </w:p>
        </w:tc>
        <w:tc>
          <w:tcPr>
            <w:tcW w:w="1191" w:type="dxa"/>
            <w:shd w:val="clear" w:color="auto" w:fill="auto"/>
            <w:noWrap/>
          </w:tcPr>
          <w:p w14:paraId="354E522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18B1932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2018–May 2019 (140)</w:t>
            </w:r>
          </w:p>
        </w:tc>
        <w:tc>
          <w:tcPr>
            <w:tcW w:w="1134" w:type="dxa"/>
            <w:shd w:val="clear" w:color="auto" w:fill="auto"/>
            <w:noWrap/>
          </w:tcPr>
          <w:p w14:paraId="6F663C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4025D04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16.5 L min</w:t>
            </w:r>
            <w:r w:rsidRPr="00C9504C">
              <w:rPr>
                <w:rFonts w:ascii="Arial" w:hAnsi="Arial" w:cs="Arial"/>
                <w:sz w:val="20"/>
                <w:szCs w:val="20"/>
                <w:vertAlign w:val="superscript"/>
                <w:lang w:val="en-US"/>
              </w:rPr>
              <w:t>−1</w:t>
            </w:r>
          </w:p>
        </w:tc>
        <w:tc>
          <w:tcPr>
            <w:tcW w:w="794" w:type="dxa"/>
            <w:shd w:val="clear" w:color="auto" w:fill="auto"/>
            <w:noWrap/>
          </w:tcPr>
          <w:p w14:paraId="05B3818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PTFE </w:t>
            </w:r>
          </w:p>
        </w:tc>
        <w:tc>
          <w:tcPr>
            <w:tcW w:w="1191" w:type="dxa"/>
            <w:shd w:val="clear" w:color="auto" w:fill="auto"/>
            <w:noWrap/>
          </w:tcPr>
          <w:p w14:paraId="527C835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0DC85B8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GC-FID</w:t>
            </w:r>
          </w:p>
        </w:tc>
        <w:tc>
          <w:tcPr>
            <w:tcW w:w="1134" w:type="dxa"/>
            <w:shd w:val="clear" w:color="auto" w:fill="auto"/>
            <w:noWrap/>
          </w:tcPr>
          <w:p w14:paraId="5A6C349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DCM</w:t>
            </w:r>
          </w:p>
        </w:tc>
        <w:tc>
          <w:tcPr>
            <w:tcW w:w="1077" w:type="dxa"/>
            <w:shd w:val="clear" w:color="auto" w:fill="auto"/>
            <w:noWrap/>
          </w:tcPr>
          <w:p w14:paraId="042A69F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Rec.: </w:t>
            </w:r>
          </w:p>
          <w:p w14:paraId="6A2ED0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&gt;60%</w:t>
            </w:r>
          </w:p>
          <w:p w14:paraId="21125C3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5869237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&lt;14%</w:t>
            </w:r>
          </w:p>
        </w:tc>
        <w:tc>
          <w:tcPr>
            <w:tcW w:w="907" w:type="dxa"/>
          </w:tcPr>
          <w:p w14:paraId="54836D5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51078BC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ILCR, LADD,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BTA, PCA</w:t>
            </w:r>
          </w:p>
        </w:tc>
        <w:tc>
          <w:tcPr>
            <w:tcW w:w="907" w:type="dxa"/>
          </w:tcPr>
          <w:p w14:paraId="29897EC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{"citationID":"CrW5nLyY","properties":{"formattedCitation":"(23)","plainCitation":"(23)","dontUpdate":true,"noteIndex":0},"citationItems":[{"id":471,"uris":["http://zotero.org/users/12446040/items/AFWDYXXW"],"itemData":{"id":471,"type":"article-journal","abstract":"Atmospheric polycyclic aromatic hydrocarbons (PAHs) are of significant interest owing to their high potential health effects, including mutagenicity and carcinogenicity. We report 16 PAHs measured in ambient PM2.5 from June 2018 to May 2019 over three different sites located in central east India. The annual average PM2.5 mass concentrations of 97.3 ± 18.1 µg m-3, 101.9 ± 19.4 µg m-3, and 93.9 ± 20.3 µg m-3 were measured at RCI (Ranchi), GHY (Gamharia), and BKR (Bokaro), respectively. The mass concentrations at all sampling sites are relatively higher than the annual average concentration of the National Ambient Air Quality Standard. Total annual PAH concentrations (ng m-3) are found to be comparable at BKR (797.9 ± 39.1 ng m-3) and RCI (887.7 ± 38.8 ng m-3); however, a relatively higher average is observed over GHY (1015.1 ± 42.7 ng m-3). Using PAH diagnostic ratios and principal component analysis (PCA), their major sources were attributed to coal and wood combustion as well as vehicular emission of diesel and gasoline at all sampling sites. Significant seasonal variability is observed for PAH composition and mainly attributed to change in emission sources. Summer and winter compositions were found to be impacted by the transport from Indo-Gangetic Plains (IGP). However, ambient level PAHs during the post-monsoon season were impacted by mixed sources from Indo-Gangetic Plain and eastern India. These observations are supported by the analysis of back-trajectory and fire count data. The excess life time cancer risk (ELCR) values estimated for the study sites are within acceptable limits suggesting acceptable risk levels at BKR, GHY, and RCI. This study highlights the significance of ambient aerosol concentration for health risks in the pre-COVID-19 scenario.","container-title":"Air Quality, Atmosphere, &amp; Health","DOI":"10.1007/s11869-021-01089-5","ISSN":"1873-9318","issue":"1","journalAbbreviation":"Air Qual Atmos Health","language":"eng","note":"PMID: 34539931\nPMCID: PMC8437740","page":"115-130","source":"PubMed","title":"Temporal variability of atmospheric particulate-bound polycyclic aromatic hydrocarbons (PAHs) over central east India: sources and carcinogenic risk assessment","title-short":"Temporal variability of atmospheric particulate-bound polycyclic aromatic hydrocarbons (PAHs) over central east India","volume":"15","author":[{"family":"Ambade","given":"Balram"},{"family":"Kumar","given":"Amit"},{"family":"Kumar","given":"Ashwini"},{"family":"Sahu","given":"Lokesh K."}],"issued":{"date-parts":[["2022"]]}}}],"schema":"https://github.com/citation-style-language/schema/raw/master/csl-citation.json"}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[23</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0B72ABC1" w14:textId="77777777" w:rsidTr="00420FF2">
        <w:trPr>
          <w:trHeight w:val="300"/>
          <w:jc w:val="center"/>
        </w:trPr>
        <w:tc>
          <w:tcPr>
            <w:tcW w:w="737" w:type="dxa"/>
            <w:shd w:val="clear" w:color="auto" w:fill="auto"/>
            <w:noWrap/>
          </w:tcPr>
          <w:p w14:paraId="0CE7280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1AF810E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AUB, Dora, Zouk Mikael, Lebanon</w:t>
            </w:r>
          </w:p>
        </w:tc>
        <w:tc>
          <w:tcPr>
            <w:tcW w:w="1191" w:type="dxa"/>
            <w:shd w:val="clear" w:color="auto" w:fill="auto"/>
            <w:noWrap/>
          </w:tcPr>
          <w:p w14:paraId="39AD3EC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464DBE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2015–Jul. 2015 (36)</w:t>
            </w:r>
          </w:p>
        </w:tc>
        <w:tc>
          <w:tcPr>
            <w:tcW w:w="1134" w:type="dxa"/>
            <w:shd w:val="clear" w:color="auto" w:fill="auto"/>
            <w:noWrap/>
          </w:tcPr>
          <w:p w14:paraId="2F987B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 LVS</w:t>
            </w:r>
          </w:p>
        </w:tc>
        <w:tc>
          <w:tcPr>
            <w:tcW w:w="737" w:type="dxa"/>
            <w:shd w:val="clear" w:color="auto" w:fill="auto"/>
            <w:noWrap/>
          </w:tcPr>
          <w:p w14:paraId="07BF9A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500 L min</w:t>
            </w:r>
            <w:r w:rsidRPr="00C9504C">
              <w:rPr>
                <w:rFonts w:ascii="Arial" w:hAnsi="Arial" w:cs="Arial"/>
                <w:sz w:val="20"/>
                <w:szCs w:val="20"/>
                <w:vertAlign w:val="superscript"/>
                <w:lang w:val="en-US"/>
              </w:rPr>
              <w:t>−1</w:t>
            </w:r>
            <w:r w:rsidRPr="00C9504C">
              <w:rPr>
                <w:rFonts w:ascii="Arial" w:hAnsi="Arial" w:cs="Arial"/>
                <w:sz w:val="20"/>
                <w:szCs w:val="20"/>
                <w:lang w:val="en-US"/>
              </w:rPr>
              <w:t xml:space="preserve">, </w:t>
            </w:r>
            <w:r w:rsidRPr="00C9504C">
              <w:rPr>
                <w:rFonts w:ascii="Arial" w:hAnsi="Arial" w:cs="Arial"/>
                <w:i/>
                <w:sz w:val="20"/>
                <w:szCs w:val="20"/>
                <w:lang w:val="en-US"/>
              </w:rPr>
              <w:t>nr</w:t>
            </w:r>
          </w:p>
        </w:tc>
        <w:tc>
          <w:tcPr>
            <w:tcW w:w="794" w:type="dxa"/>
            <w:shd w:val="clear" w:color="auto" w:fill="auto"/>
            <w:noWrap/>
          </w:tcPr>
          <w:p w14:paraId="5C85FDC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1B667ED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461C97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51F2DF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SOE with Eth, Hx, ASE and MSE with </w:t>
            </w:r>
            <w:r w:rsidRPr="00C9504C">
              <w:rPr>
                <w:rFonts w:ascii="Arial" w:hAnsi="Arial" w:cs="Arial"/>
                <w:sz w:val="20"/>
                <w:szCs w:val="20"/>
                <w:lang w:val="en-US"/>
              </w:rPr>
              <w:lastRenderedPageBreak/>
              <w:t>Tol</w:t>
            </w:r>
          </w:p>
        </w:tc>
        <w:tc>
          <w:tcPr>
            <w:tcW w:w="1077" w:type="dxa"/>
            <w:shd w:val="clear" w:color="auto" w:fill="auto"/>
            <w:noWrap/>
          </w:tcPr>
          <w:p w14:paraId="6D76DDB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 xml:space="preserve">Rec.: </w:t>
            </w:r>
          </w:p>
          <w:p w14:paraId="0423B55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65</w:t>
            </w:r>
            <w:r w:rsidRPr="0085132E">
              <w:rPr>
                <w:rFonts w:ascii="Arial" w:hAnsi="Arial" w:cs="Arial"/>
                <w:color w:val="000000" w:themeColor="text1"/>
                <w:sz w:val="20"/>
                <w:szCs w:val="20"/>
                <w:lang w:val="en-US"/>
              </w:rPr>
              <w:t>%</w:t>
            </w:r>
            <w:r w:rsidRPr="00C9504C">
              <w:rPr>
                <w:rFonts w:ascii="Arial" w:hAnsi="Arial" w:cs="Arial"/>
                <w:sz w:val="20"/>
                <w:szCs w:val="20"/>
                <w:lang w:val="en-US"/>
              </w:rPr>
              <w:t>–128%</w:t>
            </w:r>
          </w:p>
          <w:p w14:paraId="68F126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066B1A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1</w:t>
            </w:r>
            <w:r w:rsidRPr="0085132E">
              <w:rPr>
                <w:rFonts w:ascii="Arial" w:hAnsi="Arial" w:cs="Arial"/>
                <w:color w:val="000000" w:themeColor="text1"/>
                <w:sz w:val="20"/>
                <w:szCs w:val="20"/>
                <w:lang w:val="en-US"/>
              </w:rPr>
              <w:t>%</w:t>
            </w:r>
            <w:r w:rsidRPr="00C9504C">
              <w:rPr>
                <w:rFonts w:ascii="Arial" w:hAnsi="Arial" w:cs="Arial"/>
                <w:sz w:val="20"/>
                <w:szCs w:val="20"/>
                <w:lang w:val="en-US"/>
              </w:rPr>
              <w:t>–8%</w:t>
            </w:r>
          </w:p>
        </w:tc>
        <w:tc>
          <w:tcPr>
            <w:tcW w:w="907" w:type="dxa"/>
          </w:tcPr>
          <w:p w14:paraId="55D38E2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lastRenderedPageBreak/>
              <w:t>nr</w:t>
            </w:r>
          </w:p>
        </w:tc>
        <w:tc>
          <w:tcPr>
            <w:tcW w:w="1247" w:type="dxa"/>
          </w:tcPr>
          <w:p w14:paraId="3000A2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COD, DR</w:t>
            </w:r>
          </w:p>
        </w:tc>
        <w:tc>
          <w:tcPr>
            <w:tcW w:w="907" w:type="dxa"/>
          </w:tcPr>
          <w:p w14:paraId="236C43D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0IKqmYVH","properties":{"formattedCitation":"(24)","plainCitation":"(24)","dontUpdate":true,"noteIndex":0},"citationItems":[{"id":1069,"uris":["http://zotero.org/users/12446040/items/WMYHPKQL"],"itemData":{"id":1069,"type":"article-journal","abstract":"Introduction\nReports on the levels and sources of PAHs in the Middle Eastern region are very scarce and mostly outdated. This study reports for the first time the ambient levels of PAHs during summer and winter at three coastal locations in Lebanon. Comparison between PAH levels in the three locations is established and the contribution of major emission sources to PAHs is evaluated.\nMaterials and methods\nGas and particle phase PAHs were collected using a high-volume sampler fitted with a quartz filter and a polyurethane foam (PUF) holder at three coastal sites (American University of Beirut, Dora, and Zouk Mikael). The collected PAHs were then extracted and analyzed by gas chromatography-mass spectrometry (GC-MS). The dispersion of pollutants in the emissions from a local power plant was evaluated using The Air Pollution Model (TAPM), coupled with field measurements to quantify the BaP level in two nearby locations and one background location. One-way ANOVA tests and coefficients of divergence (COD) between paired sites were used for data analysis.\nResults\nHigh heterogeneity was detected in the temporal and spatial variations of the PAH profiles and concentrations at the three coastal urban sites. Higher PAH levels were measured in winter than in summer at AUB and Dora, but not at Zouk Mikael. Major sources of pollution were identified as traffic, diesel engines, road dust, and oil fuel. Diesel engines are used as local sources of electricity during rotating blackout and oil fuel are used to run the inadequately maintained local power plant. The BaP levels measured near the power plant were approximately 10 times higher than those at the background site.\nConclusions\nThe annual average BaP concentrations of 2.07 ng m−3 and 2.9 ng m−3 at Zouk Mikael and Dora, respectively, exceeded the European Union (EU) air quality standard of 1 ng m−3. Owing to the lax governmental regulations, the BaP levels in Lebanon are higher by 60%–99% than those in most cities around the world.","container-title":"Atmospheric Environment","DOI":"10.1016/j.atmosenv.2018.02.028","ISSN":"1352-2310","journalAbbreviation":"Atmospheric Environment","page":"260-267","source":"ScienceDirect","title":"Comparison of atmospheric polycyclic aromatic hydrocarbon levels in three urban areas in Lebanon","volume":"179","author":[{"family":"Baalbaki","given":"Rima"},{"family":"Nassar","given":"Julie"},{"family":"Salloum","given":"Samer"},{"family":"Shihadeh","given":"Alan L."},{"family":"Lakkis","given":"Issam"},{"family":"Saliba","given":"Najat A."}],"issued":{"date-parts":[["2018",4,1]]}}}],"schema":"https://github.com/citation-style-language/schema/raw/master/csl-citation.json"}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[24]</w:t>
            </w:r>
            <w:r w:rsidRPr="00C9504C">
              <w:rPr>
                <w:rFonts w:ascii="Arial" w:hAnsi="Arial" w:cs="Arial"/>
                <w:sz w:val="20"/>
                <w:szCs w:val="20"/>
              </w:rPr>
              <w:fldChar w:fldCharType="end"/>
            </w:r>
          </w:p>
        </w:tc>
      </w:tr>
      <w:tr w:rsidR="006751F9" w:rsidRPr="00AE1E24" w14:paraId="11181511" w14:textId="77777777" w:rsidTr="00420FF2">
        <w:trPr>
          <w:trHeight w:val="300"/>
          <w:jc w:val="center"/>
        </w:trPr>
        <w:tc>
          <w:tcPr>
            <w:tcW w:w="737" w:type="dxa"/>
            <w:shd w:val="clear" w:color="auto" w:fill="auto"/>
            <w:noWrap/>
          </w:tcPr>
          <w:p w14:paraId="4933C42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10</w:t>
            </w:r>
          </w:p>
        </w:tc>
        <w:tc>
          <w:tcPr>
            <w:tcW w:w="1417" w:type="dxa"/>
            <w:shd w:val="clear" w:color="auto" w:fill="auto"/>
            <w:noWrap/>
          </w:tcPr>
          <w:p w14:paraId="61F82EF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Kumasi, Ghana</w:t>
            </w:r>
          </w:p>
        </w:tc>
        <w:tc>
          <w:tcPr>
            <w:tcW w:w="1191" w:type="dxa"/>
            <w:shd w:val="clear" w:color="auto" w:fill="auto"/>
            <w:noWrap/>
          </w:tcPr>
          <w:p w14:paraId="092E485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GL</w:t>
            </w:r>
          </w:p>
        </w:tc>
        <w:tc>
          <w:tcPr>
            <w:tcW w:w="1134" w:type="dxa"/>
            <w:shd w:val="clear" w:color="auto" w:fill="auto"/>
            <w:noWrap/>
          </w:tcPr>
          <w:p w14:paraId="4F9A1B8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2011–Sep. 2011 (32)</w:t>
            </w:r>
          </w:p>
        </w:tc>
        <w:tc>
          <w:tcPr>
            <w:tcW w:w="1134" w:type="dxa"/>
            <w:shd w:val="clear" w:color="auto" w:fill="auto"/>
            <w:noWrap/>
          </w:tcPr>
          <w:p w14:paraId="661FEA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716BA1D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L min</w:t>
            </w:r>
            <w:r w:rsidRPr="00C9504C">
              <w:rPr>
                <w:rFonts w:ascii="Arial" w:hAnsi="Arial" w:cs="Arial"/>
                <w:sz w:val="20"/>
                <w:szCs w:val="20"/>
                <w:vertAlign w:val="superscript"/>
                <w:lang w:val="en-US"/>
              </w:rPr>
              <w:t>−1</w:t>
            </w:r>
          </w:p>
        </w:tc>
        <w:tc>
          <w:tcPr>
            <w:tcW w:w="794" w:type="dxa"/>
            <w:shd w:val="clear" w:color="auto" w:fill="auto"/>
            <w:noWrap/>
          </w:tcPr>
          <w:p w14:paraId="492DE06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0007652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36C1564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3218917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Ace, Hx</w:t>
            </w:r>
          </w:p>
        </w:tc>
        <w:tc>
          <w:tcPr>
            <w:tcW w:w="1077" w:type="dxa"/>
            <w:shd w:val="clear" w:color="auto" w:fill="auto"/>
            <w:noWrap/>
          </w:tcPr>
          <w:p w14:paraId="7391E4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Rec.: </w:t>
            </w:r>
          </w:p>
          <w:p w14:paraId="3EE7257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85</w:t>
            </w:r>
            <w:r w:rsidRPr="0085132E">
              <w:rPr>
                <w:rFonts w:ascii="Arial" w:hAnsi="Arial" w:cs="Arial"/>
                <w:color w:val="000000" w:themeColor="text1"/>
                <w:sz w:val="20"/>
                <w:szCs w:val="20"/>
                <w:lang w:val="en-US"/>
              </w:rPr>
              <w:t>%</w:t>
            </w:r>
            <w:r w:rsidRPr="00C9504C">
              <w:rPr>
                <w:rFonts w:ascii="Arial" w:hAnsi="Arial" w:cs="Arial"/>
                <w:sz w:val="20"/>
                <w:szCs w:val="20"/>
                <w:lang w:val="en-US"/>
              </w:rPr>
              <w:t>–102%</w:t>
            </w:r>
          </w:p>
        </w:tc>
        <w:tc>
          <w:tcPr>
            <w:tcW w:w="907" w:type="dxa"/>
          </w:tcPr>
          <w:p w14:paraId="4495E0A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44D797D8"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 LADD, CMB, PCA</w:t>
            </w:r>
          </w:p>
        </w:tc>
        <w:tc>
          <w:tcPr>
            <w:tcW w:w="907" w:type="dxa"/>
          </w:tcPr>
          <w:p w14:paraId="1DE9100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TuK8lePL","properties":{"formattedCitation":"(25)","plainCitation":"(25)","dontUpdate":true,"noteIndex":0},"citationItems":[{"id":"HbwwkMxO/sEbdQakr","uris":["http://zotero.org/users/12446040/items/ALC473ZR"],"itemData":{"id":498,"type":"article-journal","container-title":"Environmental Science and Pollution Research","DOI":"10.1007/s11356-014-4022-1","ISSN":"0944-1344, 1614-7499","issue":"13","journalAbbreviation":"Environ Sci Pollut Res","language":"en","page":"9658-9667","source":"DOI.org (Crossref)","title":"Levels, potential sources and human health risk of polycyclic aromatic hydrocarbons (PAHs) in particulate matter (PM10) in Kumasi, Ghana","volume":"22","author":[{"family":"Bortey-Sam","given":"Nesta"},{"family":"Ikenaka","given":"Yoshinori"},{"family":"Akoto","given":"Osei"},{"family":"Nakayama","given":"Shouta M. M."},{"family":"Yohannes","given":"Yared Beyene"},{"family":"Baidoo","given":"Elvis"},{"family":"Mizukawa","given":"Hazuki"},{"family":"Ishizuka","given":"Mayumi"}],"issued":{"date-parts":[["2015",7]]}}}],"schema":"https://github.com/citation-style-language/schema/raw/master/csl-citation.json"}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[25</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2605D624" w14:textId="77777777" w:rsidTr="00420FF2">
        <w:trPr>
          <w:trHeight w:val="300"/>
          <w:jc w:val="center"/>
        </w:trPr>
        <w:tc>
          <w:tcPr>
            <w:tcW w:w="737" w:type="dxa"/>
            <w:shd w:val="clear" w:color="auto" w:fill="auto"/>
            <w:noWrap/>
          </w:tcPr>
          <w:p w14:paraId="63ECD5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0FCF8B3A"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Manlleu</w:t>
            </w:r>
            <w:proofErr w:type="spellEnd"/>
            <w:r w:rsidRPr="00C9504C">
              <w:rPr>
                <w:rFonts w:ascii="Arial" w:hAnsi="Arial" w:cs="Arial"/>
                <w:sz w:val="20"/>
                <w:szCs w:val="20"/>
                <w:lang w:val="en-US"/>
              </w:rPr>
              <w:t>, Spain</w:t>
            </w:r>
          </w:p>
        </w:tc>
        <w:tc>
          <w:tcPr>
            <w:tcW w:w="1191" w:type="dxa"/>
            <w:shd w:val="clear" w:color="auto" w:fill="auto"/>
            <w:noWrap/>
          </w:tcPr>
          <w:p w14:paraId="281CD6F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756F594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Winter 2013–Dec. 2022 (122)</w:t>
            </w:r>
          </w:p>
        </w:tc>
        <w:tc>
          <w:tcPr>
            <w:tcW w:w="1134" w:type="dxa"/>
            <w:shd w:val="clear" w:color="auto" w:fill="auto"/>
            <w:noWrap/>
          </w:tcPr>
          <w:p w14:paraId="4BC0142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22D26B5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7D6CF1D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91" w:type="dxa"/>
            <w:shd w:val="clear" w:color="auto" w:fill="auto"/>
            <w:noWrap/>
          </w:tcPr>
          <w:p w14:paraId="5787EF3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 PAHs</w:t>
            </w:r>
          </w:p>
        </w:tc>
        <w:tc>
          <w:tcPr>
            <w:tcW w:w="1134" w:type="dxa"/>
          </w:tcPr>
          <w:p w14:paraId="14F1374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 ICP-OES,</w:t>
            </w:r>
          </w:p>
          <w:p w14:paraId="04E1480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5195DE3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HF, HNO</w:t>
            </w:r>
            <w:r w:rsidRPr="00C9504C">
              <w:rPr>
                <w:rFonts w:ascii="Arial" w:hAnsi="Arial" w:cs="Arial"/>
                <w:sz w:val="20"/>
                <w:szCs w:val="20"/>
                <w:vertAlign w:val="subscript"/>
                <w:lang w:val="en-US"/>
              </w:rPr>
              <w:t>3</w:t>
            </w:r>
            <w:r w:rsidRPr="00C9504C">
              <w:rPr>
                <w:rFonts w:ascii="Arial" w:hAnsi="Arial" w:cs="Arial"/>
                <w:sz w:val="20"/>
                <w:szCs w:val="20"/>
                <w:lang w:val="en-US"/>
              </w:rPr>
              <w:t>, HClO</w:t>
            </w:r>
            <w:r w:rsidRPr="00C9504C">
              <w:rPr>
                <w:rFonts w:ascii="Arial" w:hAnsi="Arial" w:cs="Arial"/>
                <w:sz w:val="20"/>
                <w:szCs w:val="20"/>
                <w:vertAlign w:val="subscript"/>
                <w:lang w:val="en-US"/>
              </w:rPr>
              <w:t>4</w:t>
            </w:r>
            <w:r w:rsidRPr="00C9504C">
              <w:rPr>
                <w:rFonts w:ascii="Arial" w:hAnsi="Arial" w:cs="Arial"/>
                <w:sz w:val="20"/>
                <w:szCs w:val="20"/>
                <w:lang w:val="en-US"/>
              </w:rPr>
              <w:t>;</w:t>
            </w:r>
          </w:p>
          <w:p w14:paraId="7D7B708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DCM, MeOH</w:t>
            </w:r>
          </w:p>
          <w:p w14:paraId="03989E86" w14:textId="77777777" w:rsidR="006751F9" w:rsidRPr="00C9504C" w:rsidRDefault="006751F9" w:rsidP="00420FF2">
            <w:pPr>
              <w:spacing w:after="0" w:line="240" w:lineRule="exact"/>
              <w:jc w:val="center"/>
              <w:rPr>
                <w:rFonts w:ascii="Arial" w:hAnsi="Arial" w:cs="Arial"/>
                <w:sz w:val="20"/>
                <w:szCs w:val="20"/>
                <w:lang w:val="en-US"/>
              </w:rPr>
            </w:pPr>
          </w:p>
        </w:tc>
        <w:tc>
          <w:tcPr>
            <w:tcW w:w="1077" w:type="dxa"/>
            <w:shd w:val="clear" w:color="auto" w:fill="auto"/>
            <w:noWrap/>
          </w:tcPr>
          <w:p w14:paraId="11062611"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Er</w:t>
            </w:r>
            <w:proofErr w:type="spellEnd"/>
            <w:r w:rsidRPr="00C9504C">
              <w:rPr>
                <w:rFonts w:ascii="Arial" w:hAnsi="Arial" w:cs="Arial"/>
                <w:sz w:val="20"/>
                <w:szCs w:val="20"/>
                <w:lang w:val="en-US"/>
              </w:rPr>
              <w:t>.:</w:t>
            </w:r>
          </w:p>
          <w:p w14:paraId="33EF14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&lt;10%</w:t>
            </w:r>
          </w:p>
        </w:tc>
        <w:tc>
          <w:tcPr>
            <w:tcW w:w="907" w:type="dxa"/>
          </w:tcPr>
          <w:p w14:paraId="75E5A616"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06218C7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PMF</w:t>
            </w:r>
          </w:p>
        </w:tc>
        <w:tc>
          <w:tcPr>
            <w:tcW w:w="907" w:type="dxa"/>
          </w:tcPr>
          <w:p w14:paraId="5017398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{"citationID":"5wLotFeS","properties":{"formattedCitation":"(26)","plainCitation":"(26)","dontUpdate":true,"noteIndex":0},"citationItems":[{"id":1402,"uris":["http://zotero.org/users/12446040/items/8U7KUNZN"],"itemData":{"id":1402,"type":"article-journal","abstract":"Atmospheric PM10 and benzo(a)pyrene (BaP) concentrations in Manlleu (NE Spain) have remained high from 2008 to 2023, frequently exceeding EU limit/target values, and reaching BaP levels up to six times higher than urban averages in Spain. Furthermore, PM speciation campaigns were carried out in 2013, 2014–2015, 2016–2017 and 2021–2022. Chemical mass closure for autumn-winter showed a consistent PM10 composition for the different PM speciation campaigns, comprising 46–53% organic matter (OM), 18–26% secondary inorganic aerosol (SIA), 13–23% mineral matter (MM), and 5–9% elemental carbon (EC). Trend analysis revealed very light decrease and constant concentrations for PM10 and BaP, respectively over the study period, emphasizing the need for compliance with current and forthcoming EU air quality directives, the last aiming to halve PM10 limit values. Source apportionment of samples of the sporadic campaigns identified biomass burning (BB, 17.5 μg m−3, 48%) and MM and industry (16.3 μg m−3, 44%) as the main autumn-winter PM10 contributors, with high SIA concentrations attributed to several factors, including high ammonia (NH3) emissions. Local topography and meteorological conditions contribute to aggravate PM10 pollution. While metal concentrations have decreased since 2013, suggesting reduced industrial emissions, persistently high OM and EC concentrations indicate ongoing issues with BB emissions from domestic, commercial, and agricultural sources. Online analysis of black carbon (BC) and non-refractory PM1 components during winter 2016–2017 confirmed domestic and commercial BB as the primary sources of the BB contributions. These findings highlight the need of the implementation of more effective measures in reducing BB and agricultural/farming NH3 emissions. This study highlights the relevance of these issues for similar towns, the probable unremitting problem over the last decade, and the necessity of enhanced monitoring in small cities and policy actions to meet air quality standards under the new EU directive.","container-title":"Environmental Pollution","DOI":"10.1016/j.envpol.2024.125113","ISSN":"0269-7491","journalAbbreviation":"Environmental Pollution","page":"125113","source":"ScienceDirect","title":"Causes of the unremitting high ambient levels of PM10 in a suburban background site in NE Spain","volume":"363","author":[{"family":"Canals-Angerri","given":"A."},{"family":"Via","given":"M."},{"family":"Lara","given":"R."},{"family":"Alastuey","given":"A."},{"family":"Minguillón","given":"M. C."},{"family":"Pandolfi","given":"M."},{"family":"Drooge","given":"B. L.","non-dropping-particle":"van"},{"family":"Querol","given":"X."}],"issued":{"date-parts":[["2024",12,15]]}}}],"schema":"https://github.com/citation-style-language/schema/raw/master/csl-citation.json"}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[26]</w:t>
            </w:r>
            <w:r w:rsidRPr="00C9504C">
              <w:rPr>
                <w:rFonts w:ascii="Arial" w:hAnsi="Arial" w:cs="Arial"/>
                <w:sz w:val="20"/>
                <w:szCs w:val="20"/>
              </w:rPr>
              <w:fldChar w:fldCharType="end"/>
            </w:r>
          </w:p>
        </w:tc>
      </w:tr>
      <w:tr w:rsidR="006751F9" w:rsidRPr="00AE1E24" w14:paraId="06056DB2" w14:textId="77777777" w:rsidTr="00420FF2">
        <w:trPr>
          <w:trHeight w:val="300"/>
          <w:jc w:val="center"/>
        </w:trPr>
        <w:tc>
          <w:tcPr>
            <w:tcW w:w="737" w:type="dxa"/>
            <w:shd w:val="clear" w:color="auto" w:fill="auto"/>
            <w:noWrap/>
          </w:tcPr>
          <w:p w14:paraId="48F4F97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9135AF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Nanjing, China</w:t>
            </w:r>
          </w:p>
        </w:tc>
        <w:tc>
          <w:tcPr>
            <w:tcW w:w="1191" w:type="dxa"/>
            <w:shd w:val="clear" w:color="auto" w:fill="auto"/>
            <w:noWrap/>
          </w:tcPr>
          <w:p w14:paraId="7696996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A885AF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2015−</w:t>
            </w:r>
          </w:p>
          <w:p w14:paraId="2C15848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Dec. 2015 </w:t>
            </w:r>
          </w:p>
        </w:tc>
        <w:tc>
          <w:tcPr>
            <w:tcW w:w="1134" w:type="dxa"/>
            <w:shd w:val="clear" w:color="auto" w:fill="auto"/>
            <w:noWrap/>
          </w:tcPr>
          <w:p w14:paraId="5089F2A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72DDE2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1000 L min</w:t>
            </w:r>
            <w:r w:rsidRPr="00C9504C">
              <w:rPr>
                <w:rFonts w:ascii="Arial" w:hAnsi="Arial" w:cs="Arial"/>
                <w:sz w:val="20"/>
                <w:szCs w:val="20"/>
                <w:vertAlign w:val="superscript"/>
                <w:lang w:val="en-US"/>
              </w:rPr>
              <w:t>−1</w:t>
            </w:r>
          </w:p>
        </w:tc>
        <w:tc>
          <w:tcPr>
            <w:tcW w:w="794" w:type="dxa"/>
            <w:shd w:val="clear" w:color="auto" w:fill="auto"/>
            <w:noWrap/>
          </w:tcPr>
          <w:p w14:paraId="15B186C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568CEBC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773EA09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38A4870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DCM, MeOH</w:t>
            </w:r>
          </w:p>
        </w:tc>
        <w:tc>
          <w:tcPr>
            <w:tcW w:w="1077" w:type="dxa"/>
            <w:shd w:val="clear" w:color="auto" w:fill="auto"/>
            <w:noWrap/>
          </w:tcPr>
          <w:p w14:paraId="1ADC988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1BD3E7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&gt;80%</w:t>
            </w:r>
          </w:p>
        </w:tc>
        <w:tc>
          <w:tcPr>
            <w:tcW w:w="907" w:type="dxa"/>
          </w:tcPr>
          <w:p w14:paraId="2B6ADA7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3D4CF20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LADD, LLE</w:t>
            </w:r>
          </w:p>
        </w:tc>
        <w:tc>
          <w:tcPr>
            <w:tcW w:w="907" w:type="dxa"/>
          </w:tcPr>
          <w:p w14:paraId="4BEE0A1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{"citationID":"a1SRGLHn","properties":{"formattedCitation":"(27)","plainCitation":"(27)","dontUpdate":true,"noteIndex":0},"citationItems":[{"id":428,"uris":["http://zotero.org/users/12446040/items/FNAGVZWQ"],"itemData":{"id":428,"type":"article-journal","abstract":"Organic pollutants are important harmful components in atmospheric fine particulate matters (PM2.5), health risks of which varied with temporal and spatial distributions. To clarify the characteristics of atmospheric organic pollution, the concentrations, sources, and human health risks of typical organic compositions in PM2.5 samples from both industrial and urban areas of Nanjing in eastern China were investigated monthly for a year. Results showed that, the concentrations of PM2.5-bound polycyclic aromatic hydrocarbons (PAHs) and n-alkanes were higher in winter and spring than those in summer and autumn. The organic pollution was slightly higher in industrial than urban area, though the PAHs in autumn and the n-alkanes in warm season (summer and autumn) were higher in urban area. With regards to the pollutant sources, the atmospheric PAHs were dominated by motor vehicle exhaust in the urban area, and combined with coal combustion emission in the industrial area. Airborne n-alkanes were mainly from biological source accompanied by fossil fuel combustion in industrial area. The PM2.5-bound PAHs indicated higher risks to adults in industrial area than in urban area with the seasonal patterns: winter &gt; spring &gt; autumn &gt; summer. More attention should be paid to the health risks of exposure to organic pollutants accumulated in PM2.5 during cold season. Controlling vehicle emissions might be the key measure for alleviating atmospheric PAHs and n-alkanes pollution in megacities, while coal purification can be an effective control method in industrial areas.","container-title":"Journal of Environmental Management","DOI":"10.1016/j.jenvman.2019.05.061","ISSN":"0301-4797","journalAbbreviation":"Journal of Environmental Management","page":"273-281","source":"ScienceDirect","title":"Seasonal characteristics and health risks of PM2.5-bound organic pollutants in industrial and urban areas of a China megacity","volume":"245","author":[{"family":"Chen","given":"Qi"},{"family":"Chen","given":"Yan"},{"family":"Luo","given":"Xiao-San"},{"family":"Hong","given":"Youwei"},{"family":"Hong","given":"Zhenyu"},{"family":"Zhao","given":"Zhen"},{"family":"Chen","given":"Jinsheng"}],"issued":{"date-parts":[["2019",9,1]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[27</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14168C9A" w14:textId="77777777" w:rsidTr="00420FF2">
        <w:trPr>
          <w:trHeight w:val="300"/>
          <w:jc w:val="center"/>
        </w:trPr>
        <w:tc>
          <w:tcPr>
            <w:tcW w:w="737" w:type="dxa"/>
            <w:shd w:val="clear" w:color="auto" w:fill="auto"/>
            <w:noWrap/>
          </w:tcPr>
          <w:p w14:paraId="194E03A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−PM</w:t>
            </w:r>
            <w:r w:rsidRPr="00C9504C">
              <w:rPr>
                <w:rFonts w:ascii="Arial" w:hAnsi="Arial" w:cs="Arial"/>
                <w:sz w:val="20"/>
                <w:szCs w:val="20"/>
                <w:vertAlign w:val="subscript"/>
                <w:lang w:val="en-US"/>
              </w:rPr>
              <w:t>0</w:t>
            </w:r>
            <w:r w:rsidRPr="00C9504C">
              <w:rPr>
                <w:rFonts w:ascii="Arial" w:hAnsi="Arial" w:cs="Arial"/>
                <w:sz w:val="20"/>
                <w:szCs w:val="20"/>
                <w:lang w:val="en-US"/>
              </w:rPr>
              <w:t>.</w:t>
            </w:r>
            <w:r w:rsidRPr="00C9504C">
              <w:rPr>
                <w:rFonts w:ascii="Arial" w:hAnsi="Arial" w:cs="Arial"/>
                <w:sz w:val="20"/>
                <w:szCs w:val="20"/>
                <w:vertAlign w:val="subscript"/>
                <w:lang w:val="en-US"/>
              </w:rPr>
              <w:t>25</w:t>
            </w:r>
          </w:p>
        </w:tc>
        <w:tc>
          <w:tcPr>
            <w:tcW w:w="1417" w:type="dxa"/>
            <w:shd w:val="clear" w:color="auto" w:fill="auto"/>
            <w:noWrap/>
          </w:tcPr>
          <w:p w14:paraId="60EE19A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Beirut, Lebanon</w:t>
            </w:r>
          </w:p>
        </w:tc>
        <w:tc>
          <w:tcPr>
            <w:tcW w:w="1191" w:type="dxa"/>
            <w:shd w:val="clear" w:color="auto" w:fill="auto"/>
            <w:noWrap/>
          </w:tcPr>
          <w:p w14:paraId="295AA6D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GL</w:t>
            </w:r>
          </w:p>
        </w:tc>
        <w:tc>
          <w:tcPr>
            <w:tcW w:w="1134" w:type="dxa"/>
            <w:shd w:val="clear" w:color="auto" w:fill="auto"/>
            <w:noWrap/>
          </w:tcPr>
          <w:p w14:paraId="15BF15B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Jul. 2012–Aug. 2012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5EAFF8B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1FE6A23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 L min</w:t>
            </w:r>
            <w:r w:rsidRPr="00C9504C">
              <w:rPr>
                <w:rFonts w:ascii="Arial" w:hAnsi="Arial" w:cs="Arial"/>
                <w:sz w:val="20"/>
                <w:szCs w:val="20"/>
                <w:vertAlign w:val="superscript"/>
                <w:lang w:val="en-US"/>
              </w:rPr>
              <w:t>−1</w:t>
            </w:r>
          </w:p>
        </w:tc>
        <w:tc>
          <w:tcPr>
            <w:tcW w:w="794" w:type="dxa"/>
            <w:shd w:val="clear" w:color="auto" w:fill="auto"/>
            <w:noWrap/>
          </w:tcPr>
          <w:p w14:paraId="6DEAB26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 PTFE</w:t>
            </w:r>
          </w:p>
        </w:tc>
        <w:tc>
          <w:tcPr>
            <w:tcW w:w="1191" w:type="dxa"/>
            <w:shd w:val="clear" w:color="auto" w:fill="auto"/>
            <w:noWrap/>
          </w:tcPr>
          <w:p w14:paraId="5FCA4A9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PAHs, metal</w:t>
            </w:r>
          </w:p>
        </w:tc>
        <w:tc>
          <w:tcPr>
            <w:tcW w:w="1134" w:type="dxa"/>
          </w:tcPr>
          <w:p w14:paraId="6E9C7FC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04DE2D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5A90539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6DE479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711E267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2CB76E7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{"citationID":"UjaWvI7S","properties":{"formattedCitation":"(28)","plainCitation":"(28)","dontUpdate":true,"noteIndex":0},"citationItems":[{"id":761,"uris":["http://zotero.org/users/12446040/items/YSYSISAD"],"itemData":{"id":761,"type":"article-journal","abstract":"To characterize road-traffic emissions in the greater Beirut area, size-resolved PM10–2.5, PM2.5–0.25 and PM0.25 samples were concurrently collected at near-freeway and background sites. While particle mass levels were 1.3–2.6 times greater at the roadside than background location, PM10–2.5 and PM0.25 prevailed at both sites (36–43% of PM10). A chemical mass closure showed that PM10–2.5 was mostly composed of crustal material, contributing to 12–23% of its mass across sites. On the other hand, in PM2.5–0.25 and PM0.25, organic matter (46–56%) was dominant at the roadside location, while secondary ions (SI, 54–68%) were more abundant at the background site. In the vicinity of the freeway, organic carbon (OC) levels varied from 4 μg m−3 in PM10–2.5 to 10.1 μg m−3 in PM0.25, exceeding those at the background site by 4–7 times. In contrast, OC was largely water-soluble at the background location, with its water-soluble fraction displaying comparable PM2.5–0.25- and PM0.25-concentrations at both sites, corroborating its regional secondary origin. PM0.25-elemental carbon (EC), which dominated overall EC mass, was 7-fold greater at the near-freeway than background location, indicating a contribution from diesel or also smoking vehicles to road-traffic emissions. PM2.5-SI showed fairly uniform concentrations across sites, confirming their mainly regional source. Polycyclic aromatic hydrocarbons (PAHs) were undetected at the coastal background site, whereas their levels peaked at 11.5 ng m−3 in proximity to the freeway, with the majority confined to PM0.25. Compared to other roadways, organic compounds at the freeway location exhibited high hopanes plus steranes-to-total carbon ratios (0.16–1.1 ng μg−1), indicative of different engine configurations, fleet or also lubricating oil formulation. At both locations, PM0.25-bound n-alkanes (C19–C34) showed a predominance of high molecular weight homologues and no carbon number preference, suggesting their likely road dust source. Findings of this work indicate that ambient particles at the urban background site in Beirut are mainly of secondary origin and exist in significantly lower levels relative to PM at the roadside location. Particle emissions at the near-freeway site markedly exceed those measured at roadways in similar areas in the U.S. with comparable meteorology and geomorphology. Compared to I-710—a diesel-impacted freeway in Southern California—levels of potentially toxic vehicular tracers are 5 (EC) and 3.7 (PAHs) times greater at the freeway in this study.","container-title":"Atmospheric Environment","DOI":"10.1016/j.atmosenv.2013.08.004","ISSN":"1352-2310","journalAbbreviation":"Atmospheric Environment","page":"96-106","source":"ScienceDirect","title":"Chemical composition of size-resolved particulate matter at near-freeway and urban background sites in the greater Beirut area","volume":"80","author":[{"family":"Daher","given":"Nancy"},{"family":"Saliba","given":"Najat A."},{"family":"Shihadeh","given":"Alan L."},{"family":"Jaafar","given":"Malek"},{"family":"Baalbaki","given":"Rima"},{"family":"Sioutas","given":"Constantinos"}],"issued":{"date-parts":[["2013",12,1]]}}}],"schema":"https://github.com/citation-style-language/schema/raw/master/csl-citation.json"}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[28</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2C03C7C2" w14:textId="77777777" w:rsidTr="00420FF2">
        <w:trPr>
          <w:trHeight w:val="300"/>
          <w:jc w:val="center"/>
        </w:trPr>
        <w:tc>
          <w:tcPr>
            <w:tcW w:w="737" w:type="dxa"/>
            <w:shd w:val="clear" w:color="auto" w:fill="auto"/>
            <w:noWrap/>
          </w:tcPr>
          <w:p w14:paraId="401CA59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2609942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Naples, Italy</w:t>
            </w:r>
          </w:p>
        </w:tc>
        <w:tc>
          <w:tcPr>
            <w:tcW w:w="1191" w:type="dxa"/>
            <w:shd w:val="clear" w:color="auto" w:fill="auto"/>
            <w:noWrap/>
          </w:tcPr>
          <w:p w14:paraId="5885978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GL</w:t>
            </w:r>
          </w:p>
        </w:tc>
        <w:tc>
          <w:tcPr>
            <w:tcW w:w="1134" w:type="dxa"/>
            <w:shd w:val="clear" w:color="auto" w:fill="auto"/>
            <w:noWrap/>
          </w:tcPr>
          <w:p w14:paraId="1811E29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Oct. 2012–Jul. 2013 (140)</w:t>
            </w:r>
          </w:p>
        </w:tc>
        <w:tc>
          <w:tcPr>
            <w:tcW w:w="1134" w:type="dxa"/>
            <w:shd w:val="clear" w:color="auto" w:fill="auto"/>
            <w:noWrap/>
          </w:tcPr>
          <w:p w14:paraId="012E93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72E0244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1BDC82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757E8B9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12BD5F9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06081D8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UAE with </w:t>
            </w:r>
          </w:p>
          <w:p w14:paraId="0060EA4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DCM</w:t>
            </w:r>
          </w:p>
        </w:tc>
        <w:tc>
          <w:tcPr>
            <w:tcW w:w="1077" w:type="dxa"/>
            <w:shd w:val="clear" w:color="auto" w:fill="auto"/>
            <w:noWrap/>
          </w:tcPr>
          <w:p w14:paraId="21088E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6059E16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58</w:t>
            </w:r>
            <w:r w:rsidRPr="0085132E">
              <w:rPr>
                <w:rFonts w:ascii="Arial" w:hAnsi="Arial" w:cs="Arial"/>
                <w:color w:val="000000" w:themeColor="text1"/>
                <w:sz w:val="20"/>
                <w:szCs w:val="20"/>
                <w:lang w:val="en-US"/>
              </w:rPr>
              <w:t>%</w:t>
            </w:r>
            <w:r w:rsidRPr="00C9504C">
              <w:rPr>
                <w:rFonts w:ascii="Arial" w:hAnsi="Arial" w:cs="Arial"/>
                <w:sz w:val="20"/>
                <w:szCs w:val="20"/>
                <w:lang w:val="en-US"/>
              </w:rPr>
              <w:t>−99%</w:t>
            </w:r>
          </w:p>
        </w:tc>
        <w:tc>
          <w:tcPr>
            <w:tcW w:w="907" w:type="dxa"/>
          </w:tcPr>
          <w:p w14:paraId="7328F95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05F379E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LADD, ILCR, PCA</w:t>
            </w:r>
          </w:p>
        </w:tc>
        <w:tc>
          <w:tcPr>
            <w:tcW w:w="907" w:type="dxa"/>
          </w:tcPr>
          <w:p w14:paraId="68980BA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{"citationID":"MFrjDDbr","properties":{"formattedCitation":"(29)","plainCitation":"(29)","dontUpdate":true,"noteIndex":0},"citationItems":[{"id":713,"uris":["http://zotero.org/users/12446040/items/5J64HCKF"],"itemData":{"id":713,"type":"article-journal","abstract":"In Naples, particulate matter PM10 associated with polycyclic aromatic hydrocarbons (PAHs) in ambient air were determined in urban background (NA01) and urban traffic (NA02) sites. The principal objective of the study was to determine the concentration and distribution of PAHs in PM10 for identification of their possible sources (through diagnostic ratio - DR and principal component analysis - PCA) and an estimation of the human health risk (from exposure to airborne TEQ). Airborne PM10 samples were collected on quartz filters using a Low Volume Sampler (LVS) for 24 h with seasonal samples (autumn, winter, spring and summer) of about 15 days each between October 2012 and July 2013. The PM10 mass was gravimetrically determined. The PM10 levels, in all seasons, were significantly higher (P &lt; 0.001) in the urban-traffic site (NA02) than in the urban-background site (NA01). The filters were then extracted with dichloromethane using an ultrasonicator (SONICA) to perform a detailed characterization of 12 priority PAHs proposed by the USEPA, by gas chromatography-mass spectrometer (GC-MS) analysis. The concentration of Benzo[a]Pyrene, BaP (EU and National limit value: 1 ng m−3 in PM10), varied from 0.065 ng m−3 during autumn time to 0.872 ng m−3 in spring time (NA01) and from 0.120 ng m−3 during autumn time to 1.48 ng m−3 of winter time (NA02) with four overshoots. In NA02 the trend of Σ12 PAHs was comparable to NA01 but were observed higher values than NA01. In fact, the mean concentration of Σ12 PAHs, in urban-traffic site was generally 2 times greater than in urban-background site in all the campaigns. PAHs with 5 and 6 ring, many of which are suspected carcinogens or genotoxic agents, (i.e Benzo[a]Pyrene, Indeno[1,2,3-cd]Pyrene, Benzo[b]Fluoranthene, Benzo[k]Fluoranthene and Benzo[g,h,i]Perylene), had a large contribution (</w:instrText>
            </w:r>
            <w:r>
              <w:rPr>
                <w:rFonts w:ascii="Cambria Math" w:hAnsi="Cambria Math" w:cs="Cambria Math"/>
                <w:sz w:val="20"/>
                <w:szCs w:val="20"/>
                <w:lang w:val="en-US"/>
              </w:rPr>
              <w:instrText>∼</w:instrText>
            </w:r>
            <w:r>
              <w:rPr>
                <w:rFonts w:ascii="Arial" w:hAnsi="Arial" w:cs="Arial"/>
                <w:sz w:val="20"/>
                <w:szCs w:val="20"/>
                <w:lang w:val="en-US"/>
              </w:rPr>
              <w:instrText xml:space="preserve">50–55%) of total PAHs concentration in PM10 in two sites and in each of the campaigns. Diagnostic ratio analysis and PCA suggested a substantial contributions from traffic emission with minimal influence from coal combustion and natural gas emissions. In particular diesel vehicular emissions were the major source of PAHs at the studied sites. The use of Toxicity Equivalence Quantity (TEQ) concentration provide a better estimation of carcinogenicity activities; health risk to adults and children associated with PAHs inhalation was assessed by taking into account the lifetime average daily dose and corresponding incremental lifetime cancer risk (ILCR). The ILCR was within the acceptable range (10−6–10−4), indicating a low health risk to residents in these areas.","container-title":"Atmospheric Environment","DOI":"10.1016/j.atmosenv.2016.01.020","ISSN":"1352-2310","journalAbbreviation":"Atmospheric Environment","page":"186-196","source":"ScienceDirect","title":"Level, potential sources of polycyclic aromatic hydrocarbons (PAHs) in particulate matter (PM10) in Naples","volume":"129","author":[{"family":"Di Vaio","given":"Paola"},{"family":"Cocozziello","given":"Beatrice"},{"family":"Corvino","given":"Angela"},{"family":"Fiorino","given":"Ferdinando"},{"family":"Frecentese","given":"Francesco"},{"family":"Magli","given":"Elisa"},{"family":"Onorati","given":"Giuseppe"},{"family":"Saccone","given":"Irene"},{"family":"Santagada","given":"Vincenzo"},{"family":"Settimo","given":"Gaetano"},{"family":"Severino","given":"Beatrice"},{"family":"Perissutti","given":"Elisa"}],"issued":{"date-parts":[["2016",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[29]</w:t>
            </w:r>
            <w:r w:rsidRPr="00C9504C">
              <w:rPr>
                <w:rFonts w:ascii="Arial" w:hAnsi="Arial" w:cs="Arial"/>
                <w:sz w:val="20"/>
                <w:szCs w:val="20"/>
              </w:rPr>
              <w:fldChar w:fldCharType="end"/>
            </w:r>
          </w:p>
        </w:tc>
      </w:tr>
      <w:tr w:rsidR="006751F9" w:rsidRPr="00AE1E24" w14:paraId="6F03E23F" w14:textId="77777777" w:rsidTr="00420FF2">
        <w:trPr>
          <w:trHeight w:val="300"/>
          <w:jc w:val="center"/>
        </w:trPr>
        <w:tc>
          <w:tcPr>
            <w:tcW w:w="737" w:type="dxa"/>
            <w:shd w:val="clear" w:color="auto" w:fill="auto"/>
            <w:noWrap/>
          </w:tcPr>
          <w:p w14:paraId="281318E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7FAEE49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Riyadh, Saudi Arabia</w:t>
            </w:r>
          </w:p>
        </w:tc>
        <w:tc>
          <w:tcPr>
            <w:tcW w:w="1191" w:type="dxa"/>
            <w:shd w:val="clear" w:color="auto" w:fill="auto"/>
            <w:noWrap/>
          </w:tcPr>
          <w:p w14:paraId="7384D8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4A8065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2010–Jan. 2011 (21)</w:t>
            </w:r>
          </w:p>
        </w:tc>
        <w:tc>
          <w:tcPr>
            <w:tcW w:w="1134" w:type="dxa"/>
            <w:shd w:val="clear" w:color="auto" w:fill="auto"/>
            <w:noWrap/>
          </w:tcPr>
          <w:p w14:paraId="3AD35EF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9EED4B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1.2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3A643A8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32269ED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0EA88EB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7378294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DCM</w:t>
            </w:r>
          </w:p>
        </w:tc>
        <w:tc>
          <w:tcPr>
            <w:tcW w:w="1077" w:type="dxa"/>
            <w:shd w:val="clear" w:color="auto" w:fill="auto"/>
            <w:noWrap/>
          </w:tcPr>
          <w:p w14:paraId="63D422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5C41E10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&gt;59%</w:t>
            </w:r>
          </w:p>
        </w:tc>
        <w:tc>
          <w:tcPr>
            <w:tcW w:w="907" w:type="dxa"/>
          </w:tcPr>
          <w:p w14:paraId="66633950"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079A957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DR</w:t>
            </w:r>
          </w:p>
        </w:tc>
        <w:tc>
          <w:tcPr>
            <w:tcW w:w="907" w:type="dxa"/>
          </w:tcPr>
          <w:p w14:paraId="5065DE0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{"citationID":"CQ17OkLv","properties":{"formattedCitation":"(30)","plainCitation":"(30)","dontUpdate":true,"noteIndex":0},"citationItems":[{"id":1148,"uris":["http://zotero.org/users/12446040/items/5MPJ7MYH"],"itemData":{"id":1148,"type":"article-journal","abstract":"In an effort to assess the occurrence and sources of polycyclic aromatic hydrocarbons (PAHs) in the ambient air of Riyadh, Saudi Arabia, PM10 samples were collected during December 2010. Diagnostic PAH concentration ratios were used as a tool to identify and characterize the PAH sources. The results reflect high PM10 and PAH concentrations (particulate matter (PM) = 270–1,270 μg/m3). The corresponding average PAH concentrations were in the range of 18 ± 8 to 1,003 ± 597 ng/m3 and the total concentrations (total PAHs (TPAHs) of 17 compounds) varied from 1,383 to 13,470 ng/m3 with an average of 5,871 ± 2,830 ng/m3. The detection and quantification limits were 1–3 and 1–10 ng/ml, respectively, with a recovery range of 42–80 %. The ratio of the sum of the concentrations of the nine major non-alkylated compounds to the total (CPAHs/TPAHs) was 0.87 ± 0.10, and other ratios were determined to apportion the PM sources. The PAHs found are characteristic for emissions from traffic with diesel being a predominant source.","container-title":"Environmental Science and Pollution Research","DOI":"10.1007/s11356-013-1946-9","ISSN":"1614-7499","issue":"1","journalAbbreviation":"Environ Sci Pollut Res","language":"en","page":"558-567","source":"Springer Link","title":"Identification and source apportionment of polycyclic aromatic hydrocarbons in ambient air particulate matter of Riyadh, Saudi Arabia","volume":"21","author":[{"family":"El-Mubarak","given":"Aarif H."},{"family":"Rushdi","given":"Ahmed I."},{"family":"Al-Mutlaq","given":"Khalid F."},{"family":"Bazeyad","given":"Abdulqader Y."},{"family":"Simonich","given":"Staci L. M."},{"family":"Simoneit","given":"Bernd R. T."}],"issued":{"date-parts":[["2014",1,1]]}}}],"schema":"https://github.com/citation-style-language/schema/raw/master/csl-citation.json"}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[30]</w:t>
            </w:r>
            <w:r w:rsidRPr="00C9504C">
              <w:rPr>
                <w:rFonts w:ascii="Arial" w:hAnsi="Arial" w:cs="Arial"/>
                <w:sz w:val="20"/>
                <w:szCs w:val="20"/>
              </w:rPr>
              <w:fldChar w:fldCharType="end"/>
            </w:r>
          </w:p>
        </w:tc>
      </w:tr>
      <w:tr w:rsidR="006751F9" w:rsidRPr="00AE1E24" w14:paraId="55E992D5" w14:textId="77777777" w:rsidTr="00420FF2">
        <w:trPr>
          <w:trHeight w:val="300"/>
          <w:jc w:val="center"/>
        </w:trPr>
        <w:tc>
          <w:tcPr>
            <w:tcW w:w="737" w:type="dxa"/>
            <w:shd w:val="clear" w:color="auto" w:fill="auto"/>
            <w:noWrap/>
          </w:tcPr>
          <w:p w14:paraId="030B891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6C96268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Beijing, China; Delhi, India</w:t>
            </w:r>
          </w:p>
        </w:tc>
        <w:tc>
          <w:tcPr>
            <w:tcW w:w="1191" w:type="dxa"/>
            <w:shd w:val="clear" w:color="auto" w:fill="auto"/>
            <w:noWrap/>
          </w:tcPr>
          <w:p w14:paraId="575091E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48F98CA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May 2017–Jun. 2018 (115)</w:t>
            </w:r>
          </w:p>
        </w:tc>
        <w:tc>
          <w:tcPr>
            <w:tcW w:w="1134" w:type="dxa"/>
            <w:shd w:val="clear" w:color="auto" w:fill="auto"/>
            <w:noWrap/>
          </w:tcPr>
          <w:p w14:paraId="2895BEA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13C0F52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1.33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6C8987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732A900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42E3E89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GC-Q-TOF-MS</w:t>
            </w:r>
          </w:p>
        </w:tc>
        <w:tc>
          <w:tcPr>
            <w:tcW w:w="1134" w:type="dxa"/>
            <w:shd w:val="clear" w:color="auto" w:fill="auto"/>
            <w:noWrap/>
          </w:tcPr>
          <w:p w14:paraId="3C5F659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ASE with </w:t>
            </w:r>
            <w:proofErr w:type="spellStart"/>
            <w:r w:rsidRPr="00C9504C">
              <w:rPr>
                <w:rFonts w:ascii="Arial" w:hAnsi="Arial" w:cs="Arial"/>
                <w:sz w:val="20"/>
                <w:szCs w:val="20"/>
                <w:lang w:val="en-US"/>
              </w:rPr>
              <w:t>MeCN</w:t>
            </w:r>
            <w:proofErr w:type="spellEnd"/>
          </w:p>
        </w:tc>
        <w:tc>
          <w:tcPr>
            <w:tcW w:w="1077" w:type="dxa"/>
            <w:shd w:val="clear" w:color="auto" w:fill="auto"/>
            <w:noWrap/>
          </w:tcPr>
          <w:p w14:paraId="32C91F2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68BE12E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88</w:t>
            </w:r>
            <w:r w:rsidRPr="0085132E">
              <w:rPr>
                <w:rFonts w:ascii="Arial" w:hAnsi="Arial" w:cs="Arial"/>
                <w:color w:val="000000" w:themeColor="text1"/>
                <w:sz w:val="20"/>
                <w:szCs w:val="20"/>
                <w:lang w:val="en-US"/>
              </w:rPr>
              <w:t>%</w:t>
            </w:r>
            <w:r w:rsidRPr="00C9504C">
              <w:rPr>
                <w:rFonts w:ascii="Arial" w:hAnsi="Arial" w:cs="Arial"/>
                <w:sz w:val="20"/>
                <w:szCs w:val="20"/>
                <w:lang w:val="en-US"/>
              </w:rPr>
              <w:t>−107%</w:t>
            </w:r>
          </w:p>
          <w:p w14:paraId="5EE931E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 3</w:t>
            </w:r>
            <w:r w:rsidRPr="0085132E">
              <w:rPr>
                <w:rFonts w:ascii="Arial" w:hAnsi="Arial" w:cs="Arial"/>
                <w:color w:val="000000" w:themeColor="text1"/>
                <w:sz w:val="20"/>
                <w:szCs w:val="20"/>
                <w:lang w:val="en-US"/>
              </w:rPr>
              <w:t>%</w:t>
            </w:r>
            <w:r w:rsidRPr="00C9504C">
              <w:rPr>
                <w:rFonts w:ascii="Arial" w:hAnsi="Arial" w:cs="Arial"/>
                <w:sz w:val="20"/>
                <w:szCs w:val="20"/>
                <w:lang w:val="en-US"/>
              </w:rPr>
              <w:t>−14%</w:t>
            </w:r>
          </w:p>
        </w:tc>
        <w:tc>
          <w:tcPr>
            <w:tcW w:w="907" w:type="dxa"/>
          </w:tcPr>
          <w:p w14:paraId="332BD43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33791A6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 RC</w:t>
            </w:r>
          </w:p>
        </w:tc>
        <w:tc>
          <w:tcPr>
            <w:tcW w:w="907" w:type="dxa"/>
          </w:tcPr>
          <w:p w14:paraId="47F67B6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{"citationID":"r8WvnRHZ","properties":{"formattedCitation":"(31)","plainCitation":"(31)","dontUpdate":true,"noteIndex":0},"citationItems":[{"id":650,"uris":["http://zotero.org/users/12446040/items/ZD6NEBWB"],"itemData":{"id":650,"type":"article-journal","abstract":"Polycyclic aromatic hydrocarbons (PAHs) are ubiquitous pollutants in air, soil, and water and are known to have harmful effects on human health and the environment. The diurnal and nocturnal variations of 17 PAHs in ambient particle-bound PAHs were measured in urban Beijing (China) and Delhi (India) during the summer season using gas-chromatography–quadrupole time-of-flight mass spectrometry (GC-Q-TOF-MS). The mean concentration of particles less than 2.5&amp;thinsp;µm (PM2.5) observed in Delhi was 3.6 times higher than in Beijing during the measurement period in both the daytime and night-time. In Beijing, the mean concentration of the sum of the 17 PAHs (∑17 PAHs) was 8.2&amp;thinsp;±&amp;thinsp;5.1&amp;thinsp;ng&amp;thinsp;m−3 in daytime, with the highest contribution from indeno[1,2,3-cd]pyrene (12&amp;thinsp;%), while at night-time the total PAHs was 7.2&amp;thinsp;±&amp;thinsp;2.0&amp;thinsp;ng&amp;thinsp;m−3, with the largest contribution from benzo[b]fluoranthene (14&amp;thinsp;%). In Delhi, the mean ∑17 PAHs was 13.6&amp;thinsp;±&amp;thinsp;5.9&amp;thinsp;ng&amp;thinsp;m−3 in daytime and 22.7&amp;thinsp;±&amp;thinsp;9.4&amp;thinsp;ng&amp;thinsp;m−3 at night-time, with the largest contribution from indeno[1,2,3-cd]pyrene in both the day (17&amp;thinsp;%) and night (20&amp;thinsp;%). Elevated mean concentrations of total PAHs in Delhi observed at night were attributed to emissions from vehicles and biomass burning and to meteorological conditions leading to their accumulation from a stable and low atmospheric boundary layer. Local emission sources were typically identified as the major contributors to total measured PAHs in both cities. Major emission sources were characterized based on the contribution from each class of PAHs, with the four-, five- and six-ring PAHs accounting </w:instrText>
            </w:r>
            <w:r>
              <w:rPr>
                <w:rFonts w:ascii="Cambria Math" w:hAnsi="Cambria Math" w:cs="Cambria Math"/>
                <w:sz w:val="20"/>
                <w:szCs w:val="20"/>
                <w:lang w:val="en-US"/>
              </w:rPr>
              <w:instrText>∼</w:instrText>
            </w:r>
            <w:r>
              <w:rPr>
                <w:rFonts w:ascii="Arial" w:hAnsi="Arial" w:cs="Arial"/>
                <w:sz w:val="20"/>
                <w:szCs w:val="20"/>
                <w:lang w:val="en-US"/>
              </w:rPr>
              <w:instrText xml:space="preserve">&amp;thinsp;95&amp;thinsp;% of the total PM2.5-bound PAHs mass in both locations. The high contribution of five-ring PAHs to total PAH concentration in summer Beijing and Delhi suggests a high contribution from petroleum combustion. In Delhi, a high contribution from six-ring PAHs was observed at night, suggesting a potential emission source from the combustion of fuel and oil in power generators, widely used in Delhi. The lifetime excess lung cancer risk (LECR) was calculated for Beijing and Delhi, with the highest estimated risk attributed to Delhi (LECR&amp;thinsp;=&amp;thinsp;155 per million people), which is 2.2 times higher than the Beijing risk assessment value (LECR&amp;thinsp;=&amp;thinsp;70 per million people). Finally, we have assessed the emission control policies in each city and identified those major sectors that could be subject to mitigation measures.","container-title":"Atmospheric Chemistry and Physics","DOI":"10.5194/acp-20-14303-2020","ISSN":"1680-7316","issue":"22","language":"English","note":"publisher: Copernicus GmbH","page":"14303-14319","source":"Copernicus Online Journals","title":"A comparison of PM&lt;sub&gt;2.5&lt;/sub&gt;-bound polycyclic aromatic hydrocarbons in summer Beijing (China) and Delhi (India)","volume":"20","author":[{"family":"Elzein","given":"Atallah"},{"family":"Stewart","given":"Gareth J."},{"family":"Swift","given":"Stefan J."},{"family":"Nelson","given":"Beth S."},{"family":"Crilley","given":"Leigh R."},{"family":"Alam","given":"Mohammed S."},{"family":"Reyes-Villegas","given":"Ernesto"},{"family":"Gadi","given":"Ranu"},{"family":"Harrison","given":"Roy M."},{"family":"Hamilton","given":"Jacqueline F."},{"family":"Lewis","given":"Alastair C."}],"issued":{"date-parts":[["2020",11,24]]}}}],"schema":"https://github.com/citation-style-language/schema/raw/master/csl-citation.json"}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[31</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76C4D2B1" w14:textId="77777777" w:rsidTr="00420FF2">
        <w:trPr>
          <w:trHeight w:val="300"/>
          <w:jc w:val="center"/>
        </w:trPr>
        <w:tc>
          <w:tcPr>
            <w:tcW w:w="737" w:type="dxa"/>
            <w:shd w:val="clear" w:color="auto" w:fill="auto"/>
            <w:noWrap/>
            <w:hideMark/>
          </w:tcPr>
          <w:p w14:paraId="7CB2E2D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hideMark/>
          </w:tcPr>
          <w:p w14:paraId="75B58721"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Zouk</w:t>
            </w:r>
            <w:proofErr w:type="spellEnd"/>
            <w:r w:rsidRPr="00C9504C">
              <w:rPr>
                <w:rFonts w:ascii="Arial" w:hAnsi="Arial" w:cs="Arial"/>
                <w:sz w:val="20"/>
                <w:szCs w:val="20"/>
                <w:lang w:val="en-US"/>
              </w:rPr>
              <w:t xml:space="preserve"> Mikael, </w:t>
            </w:r>
            <w:proofErr w:type="spellStart"/>
            <w:r w:rsidRPr="00C9504C">
              <w:rPr>
                <w:rFonts w:ascii="Arial" w:hAnsi="Arial" w:cs="Arial"/>
                <w:sz w:val="20"/>
                <w:szCs w:val="20"/>
                <w:lang w:val="en-US"/>
              </w:rPr>
              <w:t>Fiaa</w:t>
            </w:r>
            <w:proofErr w:type="spellEnd"/>
            <w:r w:rsidRPr="00C9504C">
              <w:rPr>
                <w:rFonts w:ascii="Arial" w:hAnsi="Arial" w:cs="Arial"/>
                <w:sz w:val="20"/>
                <w:szCs w:val="20"/>
                <w:lang w:val="en-US"/>
              </w:rPr>
              <w:t xml:space="preserve"> village, Lebanon</w:t>
            </w:r>
          </w:p>
        </w:tc>
        <w:tc>
          <w:tcPr>
            <w:tcW w:w="1191" w:type="dxa"/>
            <w:shd w:val="clear" w:color="auto" w:fill="auto"/>
            <w:noWrap/>
            <w:hideMark/>
          </w:tcPr>
          <w:p w14:paraId="500DF73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hideMark/>
          </w:tcPr>
          <w:p w14:paraId="42D11CE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Dec. 2018−Oct. 2019 </w:t>
            </w:r>
            <w:r w:rsidRPr="00C9504C">
              <w:rPr>
                <w:rFonts w:ascii="Arial" w:hAnsi="Arial" w:cs="Arial"/>
                <w:sz w:val="20"/>
                <w:szCs w:val="20"/>
                <w:lang w:val="en-US"/>
              </w:rPr>
              <w:lastRenderedPageBreak/>
              <w:t>(193)</w:t>
            </w:r>
          </w:p>
        </w:tc>
        <w:tc>
          <w:tcPr>
            <w:tcW w:w="1134" w:type="dxa"/>
            <w:shd w:val="clear" w:color="auto" w:fill="auto"/>
            <w:noWrap/>
            <w:hideMark/>
          </w:tcPr>
          <w:p w14:paraId="6B4E4DF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HVS</w:t>
            </w:r>
          </w:p>
        </w:tc>
        <w:tc>
          <w:tcPr>
            <w:tcW w:w="737" w:type="dxa"/>
            <w:shd w:val="clear" w:color="auto" w:fill="auto"/>
            <w:noWrap/>
            <w:hideMark/>
          </w:tcPr>
          <w:p w14:paraId="3611CF3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hideMark/>
          </w:tcPr>
          <w:p w14:paraId="6447BD7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hideMark/>
          </w:tcPr>
          <w:p w14:paraId="2F3C261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318E327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hideMark/>
          </w:tcPr>
          <w:p w14:paraId="373317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Ace, DCM</w:t>
            </w:r>
          </w:p>
        </w:tc>
        <w:tc>
          <w:tcPr>
            <w:tcW w:w="1077" w:type="dxa"/>
            <w:shd w:val="clear" w:color="auto" w:fill="auto"/>
            <w:noWrap/>
            <w:hideMark/>
          </w:tcPr>
          <w:p w14:paraId="3E2A0CB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w:t>
            </w:r>
            <w:r w:rsidRPr="00C9504C">
              <w:rPr>
                <w:rFonts w:ascii="Arial" w:hAnsi="Arial" w:cs="Arial"/>
                <w:sz w:val="20"/>
                <w:szCs w:val="20"/>
                <w:vertAlign w:val="superscript"/>
                <w:lang w:val="en-US"/>
              </w:rPr>
              <w:t>2</w:t>
            </w:r>
            <w:r w:rsidRPr="00C9504C">
              <w:rPr>
                <w:rFonts w:ascii="Arial" w:hAnsi="Arial" w:cs="Arial"/>
                <w:sz w:val="20"/>
                <w:szCs w:val="20"/>
                <w:lang w:val="en-US"/>
              </w:rPr>
              <w:t>:</w:t>
            </w:r>
          </w:p>
          <w:p w14:paraId="6E36504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0.93−0.99</w:t>
            </w:r>
          </w:p>
          <w:p w14:paraId="34B2631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Prec.:</w:t>
            </w:r>
          </w:p>
          <w:p w14:paraId="3A8F9B0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&lt;14%</w:t>
            </w:r>
          </w:p>
          <w:p w14:paraId="323C490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4DCB067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82%</w:t>
            </w:r>
          </w:p>
          <w:p w14:paraId="00C49493"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Unc</w:t>
            </w:r>
            <w:proofErr w:type="spellEnd"/>
            <w:r w:rsidRPr="00C9504C">
              <w:rPr>
                <w:rFonts w:ascii="Arial" w:hAnsi="Arial" w:cs="Arial"/>
                <w:sz w:val="20"/>
                <w:szCs w:val="20"/>
                <w:lang w:val="en-US"/>
              </w:rPr>
              <w:t>.:</w:t>
            </w:r>
          </w:p>
          <w:p w14:paraId="1084707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w:t>
            </w:r>
            <w:r w:rsidRPr="0085132E">
              <w:rPr>
                <w:rFonts w:ascii="Arial" w:hAnsi="Arial" w:cs="Arial"/>
                <w:color w:val="000000" w:themeColor="text1"/>
                <w:sz w:val="20"/>
                <w:szCs w:val="20"/>
                <w:lang w:val="en-US"/>
              </w:rPr>
              <w:t>%</w:t>
            </w:r>
            <w:r w:rsidRPr="00C9504C">
              <w:rPr>
                <w:rFonts w:ascii="Arial" w:hAnsi="Arial" w:cs="Arial"/>
                <w:sz w:val="20"/>
                <w:szCs w:val="20"/>
                <w:lang w:val="en-US"/>
              </w:rPr>
              <w:t>−30%</w:t>
            </w:r>
          </w:p>
        </w:tc>
        <w:tc>
          <w:tcPr>
            <w:tcW w:w="907" w:type="dxa"/>
          </w:tcPr>
          <w:p w14:paraId="43DC683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lastRenderedPageBreak/>
              <w:t>nr</w:t>
            </w:r>
          </w:p>
        </w:tc>
        <w:tc>
          <w:tcPr>
            <w:tcW w:w="1247" w:type="dxa"/>
          </w:tcPr>
          <w:p w14:paraId="7997E90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DR</w:t>
            </w:r>
          </w:p>
        </w:tc>
        <w:tc>
          <w:tcPr>
            <w:tcW w:w="907" w:type="dxa"/>
          </w:tcPr>
          <w:p w14:paraId="53D3934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{"citationID":"YqS8eFY6","properties":{"formattedCitation":"(32)","plainCitation":"(32)","dontUpdate":true,"noteIndex":0},"citationItems":[{"id":444,"uris":["http://zotero.org/users/12446040/items/GZZA7689"],"itemData":{"id":444,"type":"article-journal","abstract":"Primary and secondary organic aerosols in PM2.5 were investigated over a one-year campaign at Zouk Mikael and Fiaa, Lebanon. The n-alkanes concentrations were quite similar at both sites (26-29 ng/m3) and mainly explained by anthropogenic emissions rather than natural ones. The concentrations of total Polycyclic Aromatic Hydrocarbons (PAHs) were nearly three times higher at Zouk Mikael (2.56 ng/m3) compared to Fiaa (0.95 ng/m3), especially for indeno[1,2,3-c,d]pyrene linked to the presence of the power plant. A characteristic indeno[1,2,3-c,d]pyrene/(indeno[1,2,3-c,d]pyrene + benzo[g,h,i]perylene) ratio in the range 0.8-1.0 was determined for heavy fuel oil combustion from the power plant. Fatty acids and hopanes were also investigated and were assigned to cooking activities and vehicular emissions respectively. Phthalates were identified for the first time in Lebanon with high concentrations at Zouk and Fiaa (106.88 and 97.68 ng/m3 respectively). Moreover, the biogenic secondary aerosols revealed higher concentrations in summer. The total terpene concentration varied between 131 ng/m3 at Zouk Mikael in winter to 469 ng/m3 at Fiaa in summer. Additionnally, the concentrations of the dicarboxylic acids especially for adipic and phthalic acids were more influenced by anthropogenic sources.The analysis of molecular markers and diagnostic ratios indicated that the sites were strongly affected by anthropogenic sources such as waste open burning, diesel private generators, cooking activities, road transport, power plant, and industrial emissions. Moreover, results showed different pattern during winter and summer seasons. Whereas, higher concentrations of biogenic markers were clearly encountered during the summer period.","container-title":"Journal of Environmental Sciences","DOI":"10.1016/j.jes.2020.07.030","ISSN":"1001-0742","journalAbbreviation":"Journal of Environmental Sciences","page":"98-116","source":"ScienceDirect","title":"PM2.5 characterization of primary and secondary organic aerosols in two urban-industrial areas in the East Mediterranean","volume":"101","author":[{"family":"Fadel","given":"Marc"},{"family":"Ledoux","given":"Frédéric"},{"family":"Farhat","given":"Mariana"},{"family":"Kfoury","given":"Adib"},{"family":"Courcot","given":"Dominique"},{"family":"Afif","given":"Charbel"}],"issued":{"date-parts":[["2021",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[32]</w:t>
            </w:r>
            <w:r w:rsidRPr="00C9504C">
              <w:rPr>
                <w:rFonts w:ascii="Arial" w:hAnsi="Arial" w:cs="Arial"/>
                <w:sz w:val="20"/>
                <w:szCs w:val="20"/>
              </w:rPr>
              <w:fldChar w:fldCharType="end"/>
            </w:r>
          </w:p>
        </w:tc>
      </w:tr>
      <w:tr w:rsidR="006751F9" w:rsidRPr="00AE1E24" w14:paraId="308D5C3C" w14:textId="77777777" w:rsidTr="00420FF2">
        <w:trPr>
          <w:trHeight w:val="300"/>
          <w:jc w:val="center"/>
        </w:trPr>
        <w:tc>
          <w:tcPr>
            <w:tcW w:w="737" w:type="dxa"/>
            <w:shd w:val="clear" w:color="auto" w:fill="auto"/>
            <w:noWrap/>
          </w:tcPr>
          <w:p w14:paraId="77D3C5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2.5</w:t>
            </w:r>
          </w:p>
        </w:tc>
        <w:tc>
          <w:tcPr>
            <w:tcW w:w="1417" w:type="dxa"/>
            <w:shd w:val="clear" w:color="auto" w:fill="auto"/>
            <w:noWrap/>
          </w:tcPr>
          <w:p w14:paraId="124669F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Giza, Egypt</w:t>
            </w:r>
          </w:p>
        </w:tc>
        <w:tc>
          <w:tcPr>
            <w:tcW w:w="1191" w:type="dxa"/>
            <w:shd w:val="clear" w:color="auto" w:fill="auto"/>
            <w:noWrap/>
          </w:tcPr>
          <w:p w14:paraId="325B9D4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7FAD1B8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Nov 2019–Feb. 2020 (59)</w:t>
            </w:r>
          </w:p>
        </w:tc>
        <w:tc>
          <w:tcPr>
            <w:tcW w:w="1134" w:type="dxa"/>
            <w:shd w:val="clear" w:color="auto" w:fill="auto"/>
            <w:noWrap/>
          </w:tcPr>
          <w:p w14:paraId="2F071F5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3F49C66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0C4C9AE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71DE9E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PAHs</w:t>
            </w:r>
          </w:p>
        </w:tc>
        <w:tc>
          <w:tcPr>
            <w:tcW w:w="1134" w:type="dxa"/>
          </w:tcPr>
          <w:p w14:paraId="047567E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271F08D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Ace, DCM</w:t>
            </w:r>
          </w:p>
        </w:tc>
        <w:tc>
          <w:tcPr>
            <w:tcW w:w="1077" w:type="dxa"/>
            <w:shd w:val="clear" w:color="auto" w:fill="auto"/>
            <w:noWrap/>
          </w:tcPr>
          <w:p w14:paraId="6CA3F63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6929F72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80</w:t>
            </w:r>
            <w:r w:rsidRPr="0085132E">
              <w:rPr>
                <w:rFonts w:ascii="Arial" w:hAnsi="Arial" w:cs="Arial"/>
                <w:color w:val="000000" w:themeColor="text1"/>
                <w:sz w:val="20"/>
                <w:szCs w:val="20"/>
                <w:lang w:val="en-US"/>
              </w:rPr>
              <w:t>%</w:t>
            </w:r>
            <w:r w:rsidRPr="00C9504C">
              <w:rPr>
                <w:rFonts w:ascii="Arial" w:hAnsi="Arial" w:cs="Arial"/>
                <w:sz w:val="20"/>
                <w:szCs w:val="20"/>
                <w:lang w:val="en-US"/>
              </w:rPr>
              <w:t>−97%</w:t>
            </w:r>
          </w:p>
        </w:tc>
        <w:tc>
          <w:tcPr>
            <w:tcW w:w="907" w:type="dxa"/>
          </w:tcPr>
          <w:p w14:paraId="09FB2BD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03CCE7E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DR</w:t>
            </w:r>
          </w:p>
        </w:tc>
        <w:tc>
          <w:tcPr>
            <w:tcW w:w="907" w:type="dxa"/>
          </w:tcPr>
          <w:p w14:paraId="66E9C09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{"citationID":"g4YfzeQS","properties":{"formattedCitation":"(33)","plainCitation":"(33)","dontUpdate":true,"noteIndex":0},"citationItems":[{"id":1388,"uris":["http://zotero.org/users/12446040/items/DKRU9ZRG"],"itemData":{"id":1388,"type":"article-journal","abstract":"This work presents an exhaustive chemical characterization of the organic fraction of fine particulate matter (PM2.5) collected at an urban site in the Greater Cairo Area, Egypt, one of the most polluted megacities in the world. An intensive 2-month sampling campaign was conducted at an urban site in Giza (Dokki), from November 26, 2019, to January 28, 2020. Daily (24-h integrated) PM2.5 filter samples were then analyzed for their carbonaceous (OC, EC) and organic fractions including primary (n-alkanes, phthalates, fatty acids, polycyclic aromatic hydrocarbons, hopanes, sugars, and sugar alcohols) and secondary (isoprene and β-caryophyllene oxidation products, and dicarboxylic acids) compounds. Average organic (OC) and elemental carbon (EC) concentrations were 17.8 ± 6.6 μg/m3 and 4.4 ± 1.5 μg/m3, respectively. Biomass burning was confirmed by high daily concentration levels of levoglucosan, mannosan, and galactosan (sum equals to 288 ng/m3). Road traffic was also highlighted by the relative abundance of tetracosane and a carbon preference index close to unity as well as by the concentration ratios of PAHs and hopanes. Moreover, phthalates were identified for the first time in Cairo with high concentrations (654 ng/m3) that might be attributable to open waste burning activities. Fatty acids and sugars were also investigated and assigned to cooking activities and primary biogenic sources, respectively. The average concentration of isoprene and β-caryophyllene oxidation products were 0.89 ± 0.83 ng/m3, and 0.01 ± 0.02 ng/m3, respectively. These low values are expected since no pine trees or even forests exist in Egypt. The macrotracer approach was employed alongside Monte Carlo simulation to identify sources of primary OC and evaluate the uncertainties associated with source attribution and OC reconstruction. The findings revealed a strong contribution from cooking (31% of observed OC) and biomass burning (18%), with median reconstructed OC levels showing significant uncertainty (64%) as expected.","container-title":"Environmental Research","DOI":"10.1016/j.envres.2024.120118","ISSN":"0013-9351","journalAbbreviation":"Environmental Research","page":"120118","source":"ScienceDirect","title":"Unveiling the organic chemical composition and sources of organic carbon in PM2.5 at an urban site in Greater Cairo (Egypt): A comprehensive analysis of primary and secondary compounds","title-short":"Unveiling the organic chemical composition and sources of organic carbon in PM2.5 at an urban site in Greater Cairo (Egypt)","volume":"263","author":[{"family":"Farah","given":"Eliane"},{"family":"Fadel","given":"Marc"},{"family":"Mansour","given":"Gihane"},{"family":"Fakhri","given":"Nansi"},{"family":"Hassan","given":"Salwa K."},{"family":"Boraiy","given":"Mohamed"},{"family":"El-Nazer","given":"Mostafa"},{"family":"Wheida","given":"Ali"},{"family":"Abdelwahab","given":"Magdy"},{"family":"Oikonomou","given":"Konstantina"},{"family":"Sauvage","given":"Stéphane"},{"family":"Borbon","given":"Agnès"},{"family":"Sciare","given":"Jean"},{"family":"Courcot","given":"Dominique"},{"family":"Ledoux","given":"Frédéric"},{"family":"Afif","given":"Charbel"}],"issued":{"date-parts":[["2024",12,15]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[33]</w:t>
            </w:r>
            <w:r w:rsidRPr="00C9504C">
              <w:rPr>
                <w:rFonts w:ascii="Arial" w:hAnsi="Arial" w:cs="Arial"/>
                <w:sz w:val="20"/>
                <w:szCs w:val="20"/>
              </w:rPr>
              <w:fldChar w:fldCharType="end"/>
            </w:r>
          </w:p>
        </w:tc>
      </w:tr>
      <w:tr w:rsidR="006751F9" w:rsidRPr="00AE1E24" w14:paraId="1A3271B1" w14:textId="77777777" w:rsidTr="00420FF2">
        <w:trPr>
          <w:trHeight w:val="300"/>
          <w:jc w:val="center"/>
        </w:trPr>
        <w:tc>
          <w:tcPr>
            <w:tcW w:w="737" w:type="dxa"/>
            <w:shd w:val="clear" w:color="auto" w:fill="auto"/>
            <w:noWrap/>
          </w:tcPr>
          <w:p w14:paraId="3A18304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4D01F74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Beijing, China</w:t>
            </w:r>
          </w:p>
        </w:tc>
        <w:tc>
          <w:tcPr>
            <w:tcW w:w="1191" w:type="dxa"/>
            <w:shd w:val="clear" w:color="auto" w:fill="auto"/>
            <w:noWrap/>
          </w:tcPr>
          <w:p w14:paraId="5F7747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7DEE117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Nov. 2014–Jun. 2015 (227)</w:t>
            </w:r>
          </w:p>
        </w:tc>
        <w:tc>
          <w:tcPr>
            <w:tcW w:w="1134" w:type="dxa"/>
            <w:shd w:val="clear" w:color="auto" w:fill="auto"/>
            <w:noWrap/>
          </w:tcPr>
          <w:p w14:paraId="31210E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C38D91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0BEE4B3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4FC72A8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26B68E4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TD-GC-MS</w:t>
            </w:r>
          </w:p>
        </w:tc>
        <w:tc>
          <w:tcPr>
            <w:tcW w:w="1134" w:type="dxa"/>
            <w:shd w:val="clear" w:color="auto" w:fill="auto"/>
            <w:noWrap/>
          </w:tcPr>
          <w:p w14:paraId="447DE7F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DCM, MeOH</w:t>
            </w:r>
          </w:p>
        </w:tc>
        <w:tc>
          <w:tcPr>
            <w:tcW w:w="1077" w:type="dxa"/>
            <w:shd w:val="clear" w:color="auto" w:fill="auto"/>
            <w:noWrap/>
          </w:tcPr>
          <w:p w14:paraId="2D39510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0AE5CF3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&lt;15%</w:t>
            </w:r>
          </w:p>
          <w:p w14:paraId="2D4B0C6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Acc.:</w:t>
            </w:r>
          </w:p>
          <w:p w14:paraId="3327B7B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w:t>
            </w:r>
          </w:p>
          <w:p w14:paraId="15BEC6D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Prec.:</w:t>
            </w:r>
          </w:p>
          <w:p w14:paraId="52DEC8C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&lt;12%</w:t>
            </w:r>
          </w:p>
        </w:tc>
        <w:tc>
          <w:tcPr>
            <w:tcW w:w="907" w:type="dxa"/>
          </w:tcPr>
          <w:p w14:paraId="47CA17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1649a</w:t>
            </w:r>
          </w:p>
        </w:tc>
        <w:tc>
          <w:tcPr>
            <w:tcW w:w="1247" w:type="dxa"/>
          </w:tcPr>
          <w:p w14:paraId="2EFEBC5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DR, PMF, ILCR</w:t>
            </w:r>
          </w:p>
        </w:tc>
        <w:tc>
          <w:tcPr>
            <w:tcW w:w="907" w:type="dxa"/>
          </w:tcPr>
          <w:p w14:paraId="7D8CB61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{"citationID":"v3Gs0nF2","properties":{"formattedCitation":"(34)","plainCitation":"(34)","dontUpdate":true,"noteIndex":0},"citationItems":[{"id":432,"uris":["http://zotero.org/users/12446040/items/HAN7XAXT"],"itemData":{"id":432,"type":"article-journal","abstract":"Polycyclic aromatic hydrocarbons (PAHs) have been of health concern due to its carcinogenesis and mutagenesis. In this study, we aimed to assess the variations, sources, and lifetime excessive cancer risk (ECR) attributable to PAHs bound to ambient particulate matters with aerodynamic diameter less than 2.5μm (PM2.5) in metropolitan Beijing, China. We collected 24-hour integrated PM2.5 samples on daily basis between November 2014 and June 2015 across both central heating (cold months) and non-heating (warm months) seasons, and further analyzed the PAH components in these daily PM2.5 samples. Our results showed that total concentrations of PM2.5-bound PAHs varied between (88.6±75.4)ng/m3 in the cold months and (11.0±5.9)ng/m3 in the warm months. Benzo[a]pyrene (BaP), the carcinogenic marker of PAHs, averaged at 5.7 and 0.4ng/m3 in the cold and warm months, respectively. Source apportionment analyses illustrated that gasoline, biomass burning, diesel, coal combustion and cooking were the major contributors, accounting for 12.9%, 17.8%, 24.7%, 24.3% and 6.4% of PM2.5-bound PAHs, respectively. The BaP equivalent lifetime ECR from inhalation of PM2.5-bound PAHs was 16.2 cases per million habitants. Our results suggested that ambient particulate reduction from energy reconstruction and adaption of clean fuels would result in reductions PM2.5-bound PAHs and its associated cancer risks. However, as only particulate phased PAHs was analyzed in the present study, the concentration of ambient PAHs could be underestimated.","container-title":"Journal of Environmental Sciences","DOI":"10.1016/j.jes.2017.12.025","ISSN":"1001-0742","journalAbbreviation":"Journal of Environmental Sciences","page":"11-19","source":"ScienceDirect","title":"PM2.5-bound polycyclic aromatic hydrocarbons (PAHs) in Beijing: Seasonal variations, sources, and risk assessment","title-short":"PM2.5-bound polycyclic aromatic hydrocarbons (PAHs) in Beijing","volume":"77","author":[{"family":"Feng","given":"Baihuan"},{"family":"Li","given":"Lijuan"},{"family":"Xu","given":"Hongbing"},{"family":"Wang","given":"Tong"},{"family":"Wu","given":"Rongshan"},{"family":"Chen","given":"Jie"},{"family":"Zhang","given":"Yi"},{"family":"Liu","given":"Shuo"},{"family":"Ho","given":"Steven Sai Hang"},{"family":"Cao","given":"Junji"},{"family":"Huang","given":"Wei"}],"issued":{"date-parts":[["2019",3,1]]}}}],"schema":"https://github.com/citation-style-language/schema/raw/master/csl-citation.json"}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[34]</w:t>
            </w:r>
            <w:r w:rsidRPr="00C9504C">
              <w:rPr>
                <w:rFonts w:ascii="Arial" w:hAnsi="Arial" w:cs="Arial"/>
                <w:sz w:val="20"/>
                <w:szCs w:val="20"/>
              </w:rPr>
              <w:fldChar w:fldCharType="end"/>
            </w:r>
          </w:p>
        </w:tc>
      </w:tr>
      <w:tr w:rsidR="006751F9" w:rsidRPr="00AE1E24" w14:paraId="557A9FE3" w14:textId="77777777" w:rsidTr="00420FF2">
        <w:trPr>
          <w:trHeight w:val="300"/>
          <w:jc w:val="center"/>
        </w:trPr>
        <w:tc>
          <w:tcPr>
            <w:tcW w:w="737" w:type="dxa"/>
            <w:shd w:val="clear" w:color="auto" w:fill="auto"/>
            <w:noWrap/>
          </w:tcPr>
          <w:p w14:paraId="1C4044F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−PM</w:t>
            </w:r>
            <w:r w:rsidRPr="00C9504C">
              <w:rPr>
                <w:rFonts w:ascii="Arial" w:hAnsi="Arial" w:cs="Arial"/>
                <w:sz w:val="20"/>
                <w:szCs w:val="20"/>
                <w:vertAlign w:val="subscript"/>
                <w:lang w:val="en-US"/>
              </w:rPr>
              <w:t>0.05</w:t>
            </w:r>
          </w:p>
        </w:tc>
        <w:tc>
          <w:tcPr>
            <w:tcW w:w="1417" w:type="dxa"/>
            <w:shd w:val="clear" w:color="auto" w:fill="auto"/>
            <w:noWrap/>
          </w:tcPr>
          <w:p w14:paraId="68A315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Leipzig, Germany</w:t>
            </w:r>
          </w:p>
        </w:tc>
        <w:tc>
          <w:tcPr>
            <w:tcW w:w="1191" w:type="dxa"/>
            <w:shd w:val="clear" w:color="auto" w:fill="auto"/>
            <w:noWrap/>
          </w:tcPr>
          <w:p w14:paraId="536C1CB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7597909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Winter 2013–Summer 2015 (42)</w:t>
            </w:r>
          </w:p>
        </w:tc>
        <w:tc>
          <w:tcPr>
            <w:tcW w:w="1134" w:type="dxa"/>
            <w:shd w:val="clear" w:color="auto" w:fill="auto"/>
            <w:noWrap/>
          </w:tcPr>
          <w:p w14:paraId="5293F74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1183598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75 L min</w:t>
            </w:r>
            <w:r w:rsidRPr="00C9504C">
              <w:rPr>
                <w:rFonts w:ascii="Arial" w:hAnsi="Arial" w:cs="Arial"/>
                <w:sz w:val="20"/>
                <w:szCs w:val="20"/>
                <w:vertAlign w:val="superscript"/>
                <w:lang w:val="en-US"/>
              </w:rPr>
              <w:t>−1</w:t>
            </w:r>
          </w:p>
        </w:tc>
        <w:tc>
          <w:tcPr>
            <w:tcW w:w="794" w:type="dxa"/>
            <w:shd w:val="clear" w:color="auto" w:fill="auto"/>
            <w:noWrap/>
          </w:tcPr>
          <w:p w14:paraId="770F7DD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PF</w:t>
            </w:r>
          </w:p>
        </w:tc>
        <w:tc>
          <w:tcPr>
            <w:tcW w:w="1191" w:type="dxa"/>
            <w:shd w:val="clear" w:color="auto" w:fill="auto"/>
            <w:noWrap/>
          </w:tcPr>
          <w:p w14:paraId="285B987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5CF4F4B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TXRF</w:t>
            </w:r>
          </w:p>
        </w:tc>
        <w:tc>
          <w:tcPr>
            <w:tcW w:w="1134" w:type="dxa"/>
            <w:shd w:val="clear" w:color="auto" w:fill="auto"/>
            <w:noWrap/>
          </w:tcPr>
          <w:p w14:paraId="3C5C97A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 with HNO</w:t>
            </w:r>
            <w:r w:rsidRPr="00C9504C">
              <w:rPr>
                <w:rFonts w:ascii="Arial" w:hAnsi="Arial" w:cs="Arial"/>
                <w:sz w:val="20"/>
                <w:szCs w:val="20"/>
                <w:vertAlign w:val="subscript"/>
                <w:lang w:val="en-US"/>
              </w:rPr>
              <w:t>3</w:t>
            </w:r>
          </w:p>
        </w:tc>
        <w:tc>
          <w:tcPr>
            <w:tcW w:w="1077" w:type="dxa"/>
            <w:shd w:val="clear" w:color="auto" w:fill="auto"/>
            <w:noWrap/>
          </w:tcPr>
          <w:p w14:paraId="47338C1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1F92D3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w:t>
            </w:r>
          </w:p>
        </w:tc>
        <w:tc>
          <w:tcPr>
            <w:tcW w:w="907" w:type="dxa"/>
          </w:tcPr>
          <w:p w14:paraId="5ED64F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5EB6A9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EF, CMC </w:t>
            </w:r>
          </w:p>
        </w:tc>
        <w:tc>
          <w:tcPr>
            <w:tcW w:w="907" w:type="dxa"/>
          </w:tcPr>
          <w:p w14:paraId="2096D51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{"citationID":"xZZmHFnb","properties":{"formattedCitation":"(12)","plainCitation":"(12)","dontUpdate":true,"noteIndex":0},"citationItems":[{"id":290,"uris":["http://zotero.org/users/12446040/items/9LLMHAYJ"],"itemData":{"id":290,"type":"article-journal","abstract":"Size-resolved trace metal concentrations at four sites in Leipzig (Germany) and its surrounding were assessed between the winter of 2013 and the summer of 2015. The measurements were performed in parallel at; traffic dominated (Leipzig – Mitte, LMI), traffic and residential dominated (Eisenbahnstrasse, EIB), urban background (TROPOS, TRO) and regional background (Melpitz, MEL) sites. In total, 19 trace metals, i.e. K, Ca, Ti, Mn, Fe, Cu, Zn, As, Se, Ba, V, Pb, Ni, Cr, Sr, Sn, Sb, Co and Rb were analysed using total reflection x-ray fluorescence (TXRF). The major metals were Fe, K and Ca with concentrations ranging between; 31–440 ng/m3, 42–153 ng/m3 and 24–322 ng/m3, respectively, while the trace metals with the lowest concentrations were Co, Rb and Se with concentrations of; &lt; 0.3 ng/m3, &lt;0.5 ng/m3 and 0.5–0.7 ng/m3, respectively. PM10 trace metal concentrations during easterly air mass inflow especially at the background sites were in average 70% higher in the winter and 30% higher in the summer in comparison to westerly air mass inflow. Traffic at LMI contributed to about 75% of Cr, Ba, Cu, Sb, Sn, Ca, Co, Mn, Fe and Ti concentrations while regional activities contributed to more than 70% of K, Rb, Pb, Se, As and V concentrations. Traffic dominated trace metals were often observed in the coarse mode while the regional background dominated trace metals were often observed in the fine mode. Trace metal sources were related to crustal matter and road dust re-suspension for metals such as Ca, Fe, Co, Sr, and Ti, brake and tire wear (Cu, Sb, Ba, Fe, Zn, Pb), biomass burning (K, Rb), oil and coal combustion (V, Zn, As, Pb). Crustal matter contributed 5–12% in winter and 8–19% in summer of the PM10 mass. Using Cu and Zn as markers for brake and tire wear, respectively, the estimated brake and tire wear contributions to the PM10 mass were 0.1–0.8% and 1.7–2.9%, respectively. The higher contributions were observed at the traffic sites while the lower contributions were observed at the regional background site. In total, non-exhaust emissions could account for about 10–22% of the PM10 mass in the summer and about 7–15% of the PM10 mass in the winter.","container-title":"Atmospheric Environment","DOI":"10.1016/j.atmosenv.2017.12.024","ISSN":"1352-2310","journalAbbreviation":"Atmospheric Environment","page":"60-70","source":"ScienceDirect","title":"Assessment of trace metal levels in size-resolved particulate matter in the area of Leipzig","volume":"176","author":[{"family":"Fomba","given":"Khanneh Wadinga"},{"family":"Pinxteren","given":"Dominik","non-dropping-particle":"van"},{"family":"Müller","given":"Konrad"},{"family":"Spindler","given":"Gerald"},{"family":"Herrmann","given":"Hartmut"}],"issued":{"date-parts":[["2018",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[12]</w:t>
            </w:r>
            <w:r w:rsidRPr="00C9504C">
              <w:rPr>
                <w:rFonts w:ascii="Arial" w:hAnsi="Arial" w:cs="Arial"/>
                <w:sz w:val="20"/>
                <w:szCs w:val="20"/>
              </w:rPr>
              <w:fldChar w:fldCharType="end"/>
            </w:r>
          </w:p>
        </w:tc>
      </w:tr>
      <w:tr w:rsidR="006751F9" w:rsidRPr="00AE1E24" w14:paraId="3DFAFD7B" w14:textId="77777777" w:rsidTr="00420FF2">
        <w:trPr>
          <w:trHeight w:val="300"/>
          <w:jc w:val="center"/>
        </w:trPr>
        <w:tc>
          <w:tcPr>
            <w:tcW w:w="737" w:type="dxa"/>
            <w:shd w:val="clear" w:color="auto" w:fill="auto"/>
            <w:noWrap/>
          </w:tcPr>
          <w:p w14:paraId="5C54A5F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366F36F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Beijing, China</w:t>
            </w:r>
          </w:p>
        </w:tc>
        <w:tc>
          <w:tcPr>
            <w:tcW w:w="1191" w:type="dxa"/>
            <w:shd w:val="clear" w:color="auto" w:fill="auto"/>
            <w:noWrap/>
          </w:tcPr>
          <w:p w14:paraId="639D6E56"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EL</w:t>
            </w:r>
          </w:p>
        </w:tc>
        <w:tc>
          <w:tcPr>
            <w:tcW w:w="1134" w:type="dxa"/>
            <w:shd w:val="clear" w:color="auto" w:fill="auto"/>
            <w:noWrap/>
          </w:tcPr>
          <w:p w14:paraId="299EBEB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Sep. 2015–Aug. 2016 (572)</w:t>
            </w:r>
          </w:p>
        </w:tc>
        <w:tc>
          <w:tcPr>
            <w:tcW w:w="1134" w:type="dxa"/>
            <w:shd w:val="clear" w:color="auto" w:fill="auto"/>
            <w:noWrap/>
          </w:tcPr>
          <w:p w14:paraId="4A068A4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MVS</w:t>
            </w:r>
          </w:p>
        </w:tc>
        <w:tc>
          <w:tcPr>
            <w:tcW w:w="737" w:type="dxa"/>
            <w:shd w:val="clear" w:color="auto" w:fill="auto"/>
            <w:noWrap/>
          </w:tcPr>
          <w:p w14:paraId="77F2C669"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tcPr>
          <w:p w14:paraId="37B2B27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w:t>
            </w:r>
          </w:p>
        </w:tc>
        <w:tc>
          <w:tcPr>
            <w:tcW w:w="1191" w:type="dxa"/>
            <w:shd w:val="clear" w:color="auto" w:fill="auto"/>
            <w:noWrap/>
          </w:tcPr>
          <w:p w14:paraId="5D745C1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53FE8DD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6793572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w:t>
            </w:r>
          </w:p>
          <w:p w14:paraId="1A825C6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HNO</w:t>
            </w:r>
            <w:r w:rsidRPr="00C9504C">
              <w:rPr>
                <w:rFonts w:ascii="Arial" w:hAnsi="Arial" w:cs="Arial"/>
                <w:sz w:val="20"/>
                <w:szCs w:val="20"/>
                <w:vertAlign w:val="subscript"/>
                <w:lang w:val="en-US"/>
              </w:rPr>
              <w:t>3</w:t>
            </w:r>
            <w:r w:rsidRPr="00C9504C">
              <w:rPr>
                <w:rFonts w:ascii="Arial" w:hAnsi="Arial" w:cs="Arial"/>
                <w:sz w:val="20"/>
                <w:szCs w:val="20"/>
                <w:lang w:val="en-US"/>
              </w:rPr>
              <w:t>, HClO</w:t>
            </w:r>
            <w:r w:rsidRPr="00C9504C">
              <w:rPr>
                <w:rFonts w:ascii="Arial" w:hAnsi="Arial" w:cs="Arial"/>
                <w:sz w:val="20"/>
                <w:szCs w:val="20"/>
                <w:vertAlign w:val="subscript"/>
                <w:lang w:val="en-US"/>
              </w:rPr>
              <w:t>4</w:t>
            </w:r>
          </w:p>
        </w:tc>
        <w:tc>
          <w:tcPr>
            <w:tcW w:w="1077" w:type="dxa"/>
            <w:shd w:val="clear" w:color="auto" w:fill="auto"/>
            <w:noWrap/>
          </w:tcPr>
          <w:p w14:paraId="162016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Rec.: </w:t>
            </w:r>
          </w:p>
          <w:p w14:paraId="68124E8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85</w:t>
            </w:r>
            <w:r w:rsidRPr="0085132E">
              <w:rPr>
                <w:rFonts w:ascii="Arial" w:hAnsi="Arial" w:cs="Arial"/>
                <w:color w:val="000000" w:themeColor="text1"/>
                <w:sz w:val="20"/>
                <w:szCs w:val="20"/>
                <w:lang w:val="en-US"/>
              </w:rPr>
              <w:t>%</w:t>
            </w:r>
            <w:r w:rsidRPr="00C9504C">
              <w:rPr>
                <w:rFonts w:ascii="Arial" w:hAnsi="Arial" w:cs="Arial"/>
                <w:sz w:val="20"/>
                <w:szCs w:val="20"/>
                <w:lang w:val="en-US"/>
              </w:rPr>
              <w:t>−110%</w:t>
            </w:r>
          </w:p>
        </w:tc>
        <w:tc>
          <w:tcPr>
            <w:tcW w:w="907" w:type="dxa"/>
          </w:tcPr>
          <w:p w14:paraId="215B518F"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NIST SRM 1648a</w:t>
            </w:r>
          </w:p>
        </w:tc>
        <w:tc>
          <w:tcPr>
            <w:tcW w:w="1247" w:type="dxa"/>
          </w:tcPr>
          <w:p w14:paraId="47549D7C"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LADD, HQ, ILCR</w:t>
            </w:r>
          </w:p>
        </w:tc>
        <w:tc>
          <w:tcPr>
            <w:tcW w:w="907" w:type="dxa"/>
          </w:tcPr>
          <w:p w14:paraId="142A83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{"citationID":"3R3cti3D","properties":{"formattedCitation":"(8)","plainCitation":"(8)","dontUpdate":true,"noteIndex":0},"citationItems":[{"id":292,"uris":["http://zotero.org/users/12446040/items/3MW4YEGS"],"itemData":{"id":292,"type":"article-journal","abstract":"In order to study the sustained impact of particulate matter on urban residents, 572 PM2.5 and PM10 samples in all were attained simultaneously from a densely populated area of Beijing from September 2015 to August 2016. 11 types of heavy metals were determined as to better ascertain the seasonal variation characteristics of particle composition. In the course of the year, the mean concentrations of PM2.5 and PM10 were detected to be 102.45 μg m−3 and 144.75 μg m−3, respectively. From general perspective, winter turned out to be the longest in haze day quantity and the highest in particle concentration, followed by spring, autumn and summer, successively. The mass concentrations of numerous PM2.5 elements fluctuated evidently in the decreasing order of Ba, Zn, Mn, Sr, Cu, Pb, Cr, V, Ni, Cd and Sb. In contrast with other seasons, winter displayed the most evident increase of metal content in particulates, especially under the condition of haze. Relationship between different size particles was also reckoned with in this study. High concentration ratio of PM2.5 and PM10 (0.76–0.84) was detected during haze period, and PM2.5 was accounted as a primary pollutant during haze-fog day in Beijing. Moreover, the carcinogenic and non-carcinogenic risk posed by detected heavy metals was investigated. Cr posed the highest carcinogenic risk, and in the meantime, as compared with other non-carcinogenic metals, value of Pb was the highest in Hazard Quotient. Risk arising from Cr and Cd in winter shall be noteworthy, and accordingly it may pose danger or potential risk to adults in haze days. Eventually, a large amount of fly ash and soot particles in winter samples were indicated from SEM-EDX analysis results, whereas those are rarely detected in summer samples.","container-title":"Atmospheric Research","DOI":"10.1016/j.atmosres.2018.04.027","ISSN":"0169-8095","journalAbbreviation":"Atmospheric Research","page":"213-226","source":"ScienceDirect","title":"Microscopic morphology and seasonal variation of health effect arising from heavy metals in PM2.5 and PM10: One-year measurement in a densely populated area of urban Beijing","title-short":"Microscopic morphology and seasonal variation of health effect arising from heavy metals in PM2.5 and PM10","volume":"212","author":[{"family":"Gao","given":"Yang"},{"family":"Ji","given":"Hongbing"}],"issued":{"date-parts":[["2018",11,1]]}}}],"schema":"https://github.com/citation-style-language/schema/raw/master/csl-citation.json"}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w:t>
            </w:r>
            <w:r w:rsidRPr="00C9504C">
              <w:rPr>
                <w:rFonts w:ascii="Arial" w:hAnsi="Arial" w:cs="Arial"/>
                <w:sz w:val="20"/>
                <w:szCs w:val="20"/>
              </w:rPr>
              <w:fldChar w:fldCharType="end"/>
            </w:r>
          </w:p>
        </w:tc>
      </w:tr>
      <w:tr w:rsidR="006751F9" w:rsidRPr="00AE1E24" w14:paraId="44534912" w14:textId="77777777" w:rsidTr="00420FF2">
        <w:trPr>
          <w:trHeight w:val="300"/>
          <w:jc w:val="center"/>
        </w:trPr>
        <w:tc>
          <w:tcPr>
            <w:tcW w:w="737" w:type="dxa"/>
            <w:shd w:val="clear" w:color="auto" w:fill="auto"/>
            <w:noWrap/>
          </w:tcPr>
          <w:p w14:paraId="60DB247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TSP, PM</w:t>
            </w:r>
            <w:r w:rsidRPr="00C9504C">
              <w:rPr>
                <w:rFonts w:ascii="Arial" w:hAnsi="Arial" w:cs="Arial"/>
                <w:sz w:val="20"/>
                <w:szCs w:val="20"/>
                <w:vertAlign w:val="subscript"/>
                <w:lang w:val="en-US"/>
              </w:rPr>
              <w:t>2.5</w:t>
            </w:r>
          </w:p>
        </w:tc>
        <w:tc>
          <w:tcPr>
            <w:tcW w:w="1417" w:type="dxa"/>
            <w:shd w:val="clear" w:color="auto" w:fill="auto"/>
            <w:noWrap/>
          </w:tcPr>
          <w:p w14:paraId="521389D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Metropolitan Area of Monterrey, Mexico</w:t>
            </w:r>
          </w:p>
        </w:tc>
        <w:tc>
          <w:tcPr>
            <w:tcW w:w="1191" w:type="dxa"/>
            <w:shd w:val="clear" w:color="auto" w:fill="auto"/>
            <w:noWrap/>
          </w:tcPr>
          <w:p w14:paraId="529C641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54B95F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2016−Mar. 2016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66A244E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7A39BC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94" w:type="dxa"/>
            <w:shd w:val="clear" w:color="auto" w:fill="auto"/>
            <w:noWrap/>
          </w:tcPr>
          <w:p w14:paraId="13FB237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w:t>
            </w:r>
          </w:p>
        </w:tc>
        <w:tc>
          <w:tcPr>
            <w:tcW w:w="1191" w:type="dxa"/>
            <w:shd w:val="clear" w:color="auto" w:fill="auto"/>
            <w:noWrap/>
          </w:tcPr>
          <w:p w14:paraId="248C0ED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2C22A8B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XPS, ICP-OES</w:t>
            </w:r>
          </w:p>
        </w:tc>
        <w:tc>
          <w:tcPr>
            <w:tcW w:w="1134" w:type="dxa"/>
            <w:shd w:val="clear" w:color="auto" w:fill="auto"/>
            <w:noWrap/>
          </w:tcPr>
          <w:p w14:paraId="48B0824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HCl</w:t>
            </w:r>
          </w:p>
        </w:tc>
        <w:tc>
          <w:tcPr>
            <w:tcW w:w="1077" w:type="dxa"/>
            <w:shd w:val="clear" w:color="auto" w:fill="auto"/>
            <w:noWrap/>
          </w:tcPr>
          <w:p w14:paraId="36829D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4BF19FE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85</w:t>
            </w:r>
            <w:r w:rsidRPr="0085132E">
              <w:rPr>
                <w:rFonts w:ascii="Arial" w:hAnsi="Arial" w:cs="Arial"/>
                <w:color w:val="000000" w:themeColor="text1"/>
                <w:sz w:val="20"/>
                <w:szCs w:val="20"/>
                <w:lang w:val="en-US"/>
              </w:rPr>
              <w:t>%</w:t>
            </w:r>
            <w:r w:rsidRPr="00C9504C">
              <w:rPr>
                <w:rFonts w:ascii="Arial" w:hAnsi="Arial" w:cs="Arial"/>
                <w:sz w:val="20"/>
                <w:szCs w:val="20"/>
                <w:lang w:val="en-US"/>
              </w:rPr>
              <w:t>−116%</w:t>
            </w:r>
          </w:p>
        </w:tc>
        <w:tc>
          <w:tcPr>
            <w:tcW w:w="907" w:type="dxa"/>
          </w:tcPr>
          <w:p w14:paraId="0F8F74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0D77EC38" w14:textId="77777777" w:rsidR="006751F9" w:rsidRPr="00C9504C" w:rsidRDefault="006751F9" w:rsidP="00420FF2">
            <w:pPr>
              <w:spacing w:after="0" w:line="240" w:lineRule="exact"/>
              <w:jc w:val="center"/>
              <w:rPr>
                <w:rFonts w:ascii="Arial" w:hAnsi="Arial" w:cs="Arial"/>
                <w:b/>
                <w:sz w:val="20"/>
                <w:szCs w:val="20"/>
                <w:lang w:val="en-US"/>
              </w:rPr>
            </w:pPr>
            <w:r w:rsidRPr="00C9504C">
              <w:rPr>
                <w:rFonts w:ascii="Arial" w:hAnsi="Arial" w:cs="Arial"/>
                <w:i/>
                <w:sz w:val="20"/>
                <w:szCs w:val="20"/>
                <w:lang w:val="en-US"/>
              </w:rPr>
              <w:t>nr</w:t>
            </w:r>
          </w:p>
        </w:tc>
        <w:tc>
          <w:tcPr>
            <w:tcW w:w="907" w:type="dxa"/>
          </w:tcPr>
          <w:p w14:paraId="4CADD8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{"citationID":"wl5DwNv0","properties":{"formattedCitation":"(35)","plainCitation":"(35)","dontUpdate":true,"noteIndex":0},"citationItems":[{"id":227,"uris":["http://zotero.org/users/12446040/items/DNYZUZP4"],"itemData":{"id":227,"type":"article-journal","abstract":"During the winter period (January–March 2016), the total suspended particles (TSP) and particulate matter smaller than 2.5μm (PM2.5) were characterized by the application of various analytical techniques in four zones of the Metropolitan Area of Monterrey in Mexico. To evaluate the seasonal variation of some elements in the particulate matter, the results of this study were compared with those obtained during the summer season (July–September 2015). The speciation of the C1s signal by X-ray photoelectron spectroscopy revealed the contribution of aromatic and aliphatic hydrocarbons as the main components in both seasons. Conversely, carboxylic groups associated with biogenic emissions were detected only in winter. The percentages of SO42− ions were lower in winter, possibly caused by the decrease in the solar radiation, and relative humidity recorded. The results of the ICP analysis revealed that Fe, Zn and Cu were the most abundant metals in both TSP and PM2.5 in the two seasons. There were significant seasonal variations for concentrations of As, Ni and Zn in the urban area and for Fe, As, Cd, Ni and Zn in the industrial zone. This was attributed to the greater burning of fuels as well as to an increase in vehicular traffic, the effect of thermal inversion and changes in some meteorological parameters. The results of the sequential microanalysis by Raman spectroscopy and SEM/EDS allowed observation of deposits of carbonaceous material on the particles and to perform the speciation of particles rich in Fe and Pb, which helped infer their possible emission sources.","container-title":"Journal of Environmental Sciences","DOI":"10.1016/j.jes.2018.02.002","ISSN":"1001-0742","journalAbbreviation":"Journal of Environmental Sciences","page":"32-49","source":"ScienceDirect","title":"Seasonal variation and chemical composition of particulate matter: A study by XPS, ICP-AES and sequential microanalysis using Raman with SEM/EDS","title-short":"Seasonal variation and chemical composition of particulate matter","volume":"74","author":[{"family":"González","given":"Lucy T."},{"family":"Longoria-Rodríguez","given":"Francisco E."},{"family":"Sánchez-Domínguez","given":"Margarita"},{"family":"Leyva-Porras","given":"Cesar"},{"family":"Acuña-Askar","given":"Karim"},{"family":"Kharissov","given":"Boris I."},{"family":"Arizpe-Zapata","given":"Alejandro"},{"family":"Alfaro-Barbosa","given":"Juan M."}],"issued":{"date-parts":[["2018",12,1]]}}}],"schema":"https://github.com/citation-style-language/schema/raw/master/csl-citation.json"}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[35]</w:t>
            </w:r>
            <w:r w:rsidRPr="00C9504C">
              <w:rPr>
                <w:rFonts w:ascii="Arial" w:hAnsi="Arial" w:cs="Arial"/>
                <w:sz w:val="20"/>
                <w:szCs w:val="20"/>
              </w:rPr>
              <w:fldChar w:fldCharType="end"/>
            </w:r>
          </w:p>
        </w:tc>
      </w:tr>
      <w:tr w:rsidR="006751F9" w:rsidRPr="00AE1E24" w14:paraId="001EB519" w14:textId="77777777" w:rsidTr="00420FF2">
        <w:trPr>
          <w:trHeight w:val="300"/>
          <w:jc w:val="center"/>
        </w:trPr>
        <w:tc>
          <w:tcPr>
            <w:tcW w:w="737" w:type="dxa"/>
            <w:shd w:val="clear" w:color="auto" w:fill="auto"/>
            <w:noWrap/>
          </w:tcPr>
          <w:p w14:paraId="4A27221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5A538B1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Thessaloniki, Greece</w:t>
            </w:r>
          </w:p>
        </w:tc>
        <w:tc>
          <w:tcPr>
            <w:tcW w:w="1191" w:type="dxa"/>
            <w:shd w:val="clear" w:color="auto" w:fill="auto"/>
            <w:noWrap/>
          </w:tcPr>
          <w:p w14:paraId="520B0CA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CF137B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2011–Apr. 2012 (45)</w:t>
            </w:r>
          </w:p>
        </w:tc>
        <w:tc>
          <w:tcPr>
            <w:tcW w:w="1134" w:type="dxa"/>
            <w:shd w:val="clear" w:color="auto" w:fill="auto"/>
            <w:noWrap/>
          </w:tcPr>
          <w:p w14:paraId="1CF3212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364C8FF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323AED2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19A92B3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09EBB75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ED-XRF</w:t>
            </w:r>
          </w:p>
        </w:tc>
        <w:tc>
          <w:tcPr>
            <w:tcW w:w="1134" w:type="dxa"/>
            <w:shd w:val="clear" w:color="auto" w:fill="auto"/>
            <w:noWrap/>
          </w:tcPr>
          <w:p w14:paraId="32E587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H</w:t>
            </w:r>
            <w:r w:rsidRPr="00C9504C">
              <w:rPr>
                <w:rFonts w:ascii="Arial" w:hAnsi="Arial" w:cs="Arial"/>
                <w:sz w:val="20"/>
                <w:szCs w:val="20"/>
                <w:vertAlign w:val="subscript"/>
                <w:lang w:val="en-US"/>
              </w:rPr>
              <w:t>2</w:t>
            </w:r>
            <w:r w:rsidRPr="00C9504C">
              <w:rPr>
                <w:rFonts w:ascii="Arial" w:hAnsi="Arial" w:cs="Arial"/>
                <w:sz w:val="20"/>
                <w:szCs w:val="20"/>
                <w:lang w:val="en-US"/>
              </w:rPr>
              <w:t>O, C</w:t>
            </w:r>
            <w:r w:rsidRPr="00C9504C">
              <w:rPr>
                <w:rFonts w:ascii="Cambria Math" w:hAnsi="Cambria Math" w:cs="Cambria Math"/>
                <w:sz w:val="20"/>
                <w:szCs w:val="20"/>
                <w:lang w:val="en-US"/>
              </w:rPr>
              <w:t>₃</w:t>
            </w:r>
            <w:r w:rsidRPr="00C9504C">
              <w:rPr>
                <w:rFonts w:ascii="Arial" w:hAnsi="Arial" w:cs="Arial"/>
                <w:sz w:val="20"/>
                <w:szCs w:val="20"/>
                <w:lang w:val="en-US"/>
              </w:rPr>
              <w:t>H</w:t>
            </w:r>
            <w:r w:rsidRPr="00C9504C">
              <w:rPr>
                <w:rFonts w:ascii="Cambria Math" w:hAnsi="Cambria Math" w:cs="Cambria Math"/>
                <w:sz w:val="20"/>
                <w:szCs w:val="20"/>
                <w:lang w:val="en-US"/>
              </w:rPr>
              <w:t>₈</w:t>
            </w:r>
            <w:r w:rsidRPr="00C9504C">
              <w:rPr>
                <w:rFonts w:ascii="Arial" w:hAnsi="Arial" w:cs="Arial"/>
                <w:sz w:val="20"/>
                <w:szCs w:val="20"/>
                <w:lang w:val="en-US"/>
              </w:rPr>
              <w:t>O</w:t>
            </w:r>
          </w:p>
        </w:tc>
        <w:tc>
          <w:tcPr>
            <w:tcW w:w="1077" w:type="dxa"/>
            <w:shd w:val="clear" w:color="auto" w:fill="auto"/>
            <w:noWrap/>
          </w:tcPr>
          <w:p w14:paraId="2A7B06F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Prec.: </w:t>
            </w:r>
          </w:p>
          <w:p w14:paraId="4CC80F1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&lt;5%</w:t>
            </w:r>
          </w:p>
        </w:tc>
        <w:tc>
          <w:tcPr>
            <w:tcW w:w="907" w:type="dxa"/>
          </w:tcPr>
          <w:p w14:paraId="31F8F1B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2783</w:t>
            </w:r>
          </w:p>
        </w:tc>
        <w:tc>
          <w:tcPr>
            <w:tcW w:w="1247" w:type="dxa"/>
          </w:tcPr>
          <w:p w14:paraId="365E41C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BTA, CMB</w:t>
            </w:r>
          </w:p>
        </w:tc>
        <w:tc>
          <w:tcPr>
            <w:tcW w:w="907" w:type="dxa"/>
          </w:tcPr>
          <w:p w14:paraId="590DC3D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vkKumlAF","properties":{"formattedCitation":"(36)","plainCitation":"(36)","dontUpdate":true,"noteIndex":0},"citationItems":[{"id":1136,"uris":["http://zotero.org/users/12446040/items/2734W8UC"],"itemData":{"id":1136,"type":"article-journal","abstract":"Concentrations and chemical composition of the coarse particle fraction (PMc) were investigated at two urban sites in the city of Thessaloniki, Greece, through concurrent sampling of PM10 and PM2.5 during the warm and the cold months of the year. PMc levels at the urban-traffic site (UT) were among the highest found in literature worldwide exhibiting higher values in the cold period. PMc levels at the urban-background site (UB) were significantly lower exhibiting a reverse seasonal trend. Concentration levels of minerals and most trace metals were also higher at the UT site suggesting a stronger impact from traffic-related sources (road dust resuspension, brake and tire abrasion, road wear). According to the chemical mass closure obtained, minerals (oxides of Si, Al, Ca, Mg, Fe, Ti, and K) dominated the PMc profile, regardless of the site and the period, with organic matter and secondary inorganic aerosols (mainly nitrate) also contributing considerably to the PMc mass, particularly in the warm period. The influence of wind speed to dilution and/or resuspension of coarse particles was investigated. The source of origin of coarse particles was also investigated using surface wind data and atmospheric back-trajectory modeling. Finally, the contribution of resuspension to PMc levels was estimated for air quality management perspectives.","container-title":"Environmental Science and Pollution Research","DOI":"10.1007/s11356-014-2732-z","ISSN":"1614-7499","issue":"12","journalAbbreviation":"Environ Sci Pollut Res","language":"en","page":"7708-7722","source":"Springer Link","title":"Chemical composition and mass closure of ambient coarse particles at traffic and urban-background sites in Thessaloniki, Greece","volume":"21","author":[{"family":"Grigoratos","given":"Theodoros"},{"family":"Samara","given":"Constantini"},{"family":"Voutsa","given":"Dimitra"},{"family":"Manoli","given":"Evangelia"},{"family":"Kouras","given":"Athanasios"}],"issued":{"date-parts":[["2014",6,1]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[36]</w:t>
            </w:r>
            <w:r w:rsidRPr="00C9504C">
              <w:rPr>
                <w:rFonts w:ascii="Arial" w:hAnsi="Arial" w:cs="Arial"/>
                <w:sz w:val="20"/>
                <w:szCs w:val="20"/>
              </w:rPr>
              <w:fldChar w:fldCharType="end"/>
            </w:r>
          </w:p>
        </w:tc>
      </w:tr>
      <w:tr w:rsidR="006751F9" w:rsidRPr="00AE1E24" w14:paraId="4317C1B1" w14:textId="77777777" w:rsidTr="00420FF2">
        <w:trPr>
          <w:trHeight w:val="300"/>
          <w:jc w:val="center"/>
        </w:trPr>
        <w:tc>
          <w:tcPr>
            <w:tcW w:w="737" w:type="dxa"/>
            <w:shd w:val="clear" w:color="auto" w:fill="auto"/>
            <w:noWrap/>
          </w:tcPr>
          <w:p w14:paraId="3516371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−PM</w:t>
            </w:r>
            <w:r w:rsidRPr="00C9504C">
              <w:rPr>
                <w:rFonts w:ascii="Arial" w:hAnsi="Arial" w:cs="Arial"/>
                <w:sz w:val="20"/>
                <w:szCs w:val="20"/>
                <w:vertAlign w:val="subscript"/>
                <w:lang w:val="en-US"/>
              </w:rPr>
              <w:t>0.25</w:t>
            </w:r>
          </w:p>
        </w:tc>
        <w:tc>
          <w:tcPr>
            <w:tcW w:w="1417" w:type="dxa"/>
            <w:shd w:val="clear" w:color="auto" w:fill="auto"/>
            <w:noWrap/>
          </w:tcPr>
          <w:p w14:paraId="304BE0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Delhi, India</w:t>
            </w:r>
          </w:p>
        </w:tc>
        <w:tc>
          <w:tcPr>
            <w:tcW w:w="1191" w:type="dxa"/>
            <w:shd w:val="clear" w:color="auto" w:fill="auto"/>
            <w:noWrap/>
          </w:tcPr>
          <w:p w14:paraId="69F21A6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7EB961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Jul. 2014–Jul. 2015 (90)</w:t>
            </w:r>
          </w:p>
        </w:tc>
        <w:tc>
          <w:tcPr>
            <w:tcW w:w="1134" w:type="dxa"/>
            <w:shd w:val="clear" w:color="auto" w:fill="auto"/>
            <w:noWrap/>
          </w:tcPr>
          <w:p w14:paraId="73E9E4C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6EFB23E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L min</w:t>
            </w:r>
            <w:r w:rsidRPr="00C9504C">
              <w:rPr>
                <w:rFonts w:ascii="Arial" w:hAnsi="Arial" w:cs="Arial"/>
                <w:sz w:val="20"/>
                <w:szCs w:val="20"/>
                <w:vertAlign w:val="superscript"/>
                <w:lang w:val="en-US"/>
              </w:rPr>
              <w:t>−1</w:t>
            </w:r>
            <w:r w:rsidRPr="00C9504C">
              <w:rPr>
                <w:rFonts w:ascii="Arial" w:hAnsi="Arial" w:cs="Arial"/>
                <w:sz w:val="20"/>
                <w:szCs w:val="20"/>
                <w:lang w:val="en-US"/>
              </w:rPr>
              <w:t>, 9 L min</w:t>
            </w:r>
            <w:r w:rsidRPr="00C9504C">
              <w:rPr>
                <w:rFonts w:ascii="Arial" w:hAnsi="Arial" w:cs="Arial"/>
                <w:sz w:val="20"/>
                <w:szCs w:val="20"/>
                <w:vertAlign w:val="superscript"/>
                <w:lang w:val="en-US"/>
              </w:rPr>
              <w:t>−1</w:t>
            </w:r>
          </w:p>
        </w:tc>
        <w:tc>
          <w:tcPr>
            <w:tcW w:w="794" w:type="dxa"/>
            <w:shd w:val="clear" w:color="auto" w:fill="auto"/>
            <w:noWrap/>
          </w:tcPr>
          <w:p w14:paraId="339E0F6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 PTFE</w:t>
            </w:r>
          </w:p>
        </w:tc>
        <w:tc>
          <w:tcPr>
            <w:tcW w:w="1191" w:type="dxa"/>
            <w:shd w:val="clear" w:color="auto" w:fill="auto"/>
            <w:noWrap/>
          </w:tcPr>
          <w:p w14:paraId="51C1568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 PAH</w:t>
            </w:r>
          </w:p>
        </w:tc>
        <w:tc>
          <w:tcPr>
            <w:tcW w:w="1134" w:type="dxa"/>
          </w:tcPr>
          <w:p w14:paraId="012071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ED-XRF, GC-MS</w:t>
            </w:r>
          </w:p>
        </w:tc>
        <w:tc>
          <w:tcPr>
            <w:tcW w:w="1134" w:type="dxa"/>
            <w:shd w:val="clear" w:color="auto" w:fill="auto"/>
            <w:noWrap/>
          </w:tcPr>
          <w:p w14:paraId="54A65F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CH</w:t>
            </w:r>
            <w:r w:rsidRPr="00C9504C">
              <w:rPr>
                <w:rFonts w:ascii="Arial" w:hAnsi="Arial" w:cs="Arial"/>
                <w:sz w:val="20"/>
                <w:szCs w:val="20"/>
                <w:vertAlign w:val="subscript"/>
                <w:lang w:val="en-US"/>
              </w:rPr>
              <w:t>2</w:t>
            </w:r>
            <w:r w:rsidRPr="00C9504C">
              <w:rPr>
                <w:rFonts w:ascii="Arial" w:hAnsi="Arial" w:cs="Arial"/>
                <w:sz w:val="20"/>
                <w:szCs w:val="20"/>
                <w:lang w:val="en-US"/>
              </w:rPr>
              <w:t>Cl</w:t>
            </w:r>
            <w:r w:rsidRPr="00C9504C">
              <w:rPr>
                <w:rFonts w:ascii="Arial" w:hAnsi="Arial" w:cs="Arial"/>
                <w:sz w:val="20"/>
                <w:szCs w:val="20"/>
                <w:vertAlign w:val="subscript"/>
                <w:lang w:val="en-US"/>
              </w:rPr>
              <w:t>2</w:t>
            </w:r>
          </w:p>
        </w:tc>
        <w:tc>
          <w:tcPr>
            <w:tcW w:w="1077" w:type="dxa"/>
            <w:shd w:val="clear" w:color="auto" w:fill="auto"/>
            <w:noWrap/>
          </w:tcPr>
          <w:p w14:paraId="0D9E0589"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Er</w:t>
            </w:r>
            <w:proofErr w:type="spellEnd"/>
            <w:r w:rsidRPr="00C9504C">
              <w:rPr>
                <w:rFonts w:ascii="Arial" w:hAnsi="Arial" w:cs="Arial"/>
                <w:sz w:val="20"/>
                <w:szCs w:val="20"/>
                <w:lang w:val="en-US"/>
              </w:rPr>
              <w:t>.:</w:t>
            </w:r>
          </w:p>
          <w:p w14:paraId="024722F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&lt;10%</w:t>
            </w:r>
          </w:p>
          <w:p w14:paraId="7E14975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7700023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75</w:t>
            </w:r>
            <w:r w:rsidRPr="0085132E">
              <w:rPr>
                <w:rFonts w:ascii="Arial" w:hAnsi="Arial" w:cs="Arial"/>
                <w:color w:val="000000" w:themeColor="text1"/>
                <w:sz w:val="20"/>
                <w:szCs w:val="20"/>
                <w:lang w:val="en-US"/>
              </w:rPr>
              <w:t>%</w:t>
            </w:r>
            <w:r w:rsidRPr="00C9504C">
              <w:rPr>
                <w:rFonts w:ascii="Arial" w:hAnsi="Arial" w:cs="Arial"/>
                <w:sz w:val="20"/>
                <w:szCs w:val="20"/>
                <w:lang w:val="en-US"/>
              </w:rPr>
              <w:t>−86%</w:t>
            </w:r>
          </w:p>
        </w:tc>
        <w:tc>
          <w:tcPr>
            <w:tcW w:w="907" w:type="dxa"/>
          </w:tcPr>
          <w:p w14:paraId="5661B55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7D76E82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PCA, DR, LADD, HQ, HI</w:t>
            </w:r>
          </w:p>
        </w:tc>
        <w:tc>
          <w:tcPr>
            <w:tcW w:w="907" w:type="dxa"/>
          </w:tcPr>
          <w:p w14:paraId="55B6062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F3r9gKi1","properties":{"formattedCitation":"(37)","plainCitation":"(37)","dontUpdate":true,"noteIndex":0},"citationItems":[{"id":1146,"uris":["http://zotero.org/users/12446040/items/TCBTGM79"],"itemData":{"id":1146,"type":"article-journal","abstract":"Size-differentiated particulate matters (viz. fine and coarse) were analyzed for quantification of elements and associated polycyclic aromatic hydrocarbons with energy dispersive X-ray fluorescence and gas chromatography-mass spectrometry techniques for the samples collected through Dekati PM10 impactor and Sioutas five-stage cascade impactor from five different sites of the National Capital Region, India for the year 2014–2015. The dominant sources of elements were crustal origin and diverse man-made activities revealed by principal component analysis, while for polycyclic aromatic hydrocarbons, it was attributed to be emitted from vehicular fuels, combustion processes (such as coal, wood, and biomass burning) and petrogenic sources indicated by molecular diagnostic ratios. Chronic health risk assessment was also observed for the species: elements and polycyclic aromatic hydrocarbons. The observed hazard quotient of an individual species was less than unity, but the hazard index of the species was found to be greater than unity.","container-title":"Air Quality, Atmosphere &amp; Health","DOI":"10.1007/s11869-016-0438-8","ISSN":"1873-9326","issue":"4","journalAbbreviation":"Air Qual Atmos Health","language":"en","page":"469-482","source":"Springer Link","title":"Estimation of risk factor of elements and PAHs in size-differentiated particles in the National Capital Region of India","volume":"10","author":[{"family":"Hazarika","given":"Naba"},{"family":"Srivastava","given":"Arun"}],"issued":{"date-parts":[["2017",5,1]]}}}],"schema":"https://github.com/citation-style-language/schema/raw/master/csl-citation.json"}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[37]</w:t>
            </w:r>
            <w:r w:rsidRPr="00C9504C">
              <w:rPr>
                <w:rFonts w:ascii="Arial" w:hAnsi="Arial" w:cs="Arial"/>
                <w:sz w:val="20"/>
                <w:szCs w:val="20"/>
              </w:rPr>
              <w:fldChar w:fldCharType="end"/>
            </w:r>
          </w:p>
        </w:tc>
      </w:tr>
      <w:tr w:rsidR="006751F9" w:rsidRPr="00AE1E24" w14:paraId="0048DA0A" w14:textId="77777777" w:rsidTr="00420FF2">
        <w:trPr>
          <w:trHeight w:val="300"/>
          <w:jc w:val="center"/>
        </w:trPr>
        <w:tc>
          <w:tcPr>
            <w:tcW w:w="737" w:type="dxa"/>
            <w:shd w:val="clear" w:color="auto" w:fill="auto"/>
            <w:noWrap/>
          </w:tcPr>
          <w:p w14:paraId="016E78D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2.5</w:t>
            </w:r>
          </w:p>
        </w:tc>
        <w:tc>
          <w:tcPr>
            <w:tcW w:w="1417" w:type="dxa"/>
            <w:shd w:val="clear" w:color="auto" w:fill="auto"/>
            <w:noWrap/>
          </w:tcPr>
          <w:p w14:paraId="061FC720"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Guting</w:t>
            </w:r>
            <w:proofErr w:type="spellEnd"/>
            <w:r w:rsidRPr="00C9504C">
              <w:rPr>
                <w:rFonts w:ascii="Arial" w:hAnsi="Arial" w:cs="Arial"/>
                <w:sz w:val="20"/>
                <w:szCs w:val="20"/>
                <w:lang w:val="en-US"/>
              </w:rPr>
              <w:t xml:space="preserve">, Taipei, Hualien, Chiayi, </w:t>
            </w:r>
            <w:proofErr w:type="spellStart"/>
            <w:r w:rsidRPr="00C9504C">
              <w:rPr>
                <w:rFonts w:ascii="Arial" w:hAnsi="Arial" w:cs="Arial"/>
                <w:sz w:val="20"/>
                <w:szCs w:val="20"/>
                <w:lang w:val="en-US"/>
              </w:rPr>
              <w:t>Siaogang</w:t>
            </w:r>
            <w:proofErr w:type="spellEnd"/>
            <w:r w:rsidRPr="00C9504C">
              <w:rPr>
                <w:rFonts w:ascii="Arial" w:hAnsi="Arial" w:cs="Arial"/>
                <w:sz w:val="20"/>
                <w:szCs w:val="20"/>
                <w:lang w:val="en-US"/>
              </w:rPr>
              <w:t>, Taiwan</w:t>
            </w:r>
          </w:p>
        </w:tc>
        <w:tc>
          <w:tcPr>
            <w:tcW w:w="1191" w:type="dxa"/>
            <w:shd w:val="clear" w:color="auto" w:fill="auto"/>
            <w:noWrap/>
          </w:tcPr>
          <w:p w14:paraId="0C26CE6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47C7FD3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May 2015–Apr. 2018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5E4B0F3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00939F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16.7 L min</w:t>
            </w:r>
            <w:r w:rsidRPr="00C9504C">
              <w:rPr>
                <w:rFonts w:ascii="Arial" w:hAnsi="Arial" w:cs="Arial"/>
                <w:sz w:val="20"/>
                <w:szCs w:val="20"/>
                <w:vertAlign w:val="superscript"/>
                <w:lang w:val="en-US"/>
              </w:rPr>
              <w:t>−1</w:t>
            </w:r>
          </w:p>
        </w:tc>
        <w:tc>
          <w:tcPr>
            <w:tcW w:w="794" w:type="dxa"/>
            <w:shd w:val="clear" w:color="auto" w:fill="auto"/>
            <w:noWrap/>
          </w:tcPr>
          <w:p w14:paraId="3A5228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7CEE81E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64FA948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7C209A3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HF, H</w:t>
            </w:r>
            <w:r w:rsidRPr="00C9504C">
              <w:rPr>
                <w:rFonts w:ascii="Arial" w:hAnsi="Arial" w:cs="Arial"/>
                <w:sz w:val="20"/>
                <w:szCs w:val="20"/>
                <w:vertAlign w:val="subscript"/>
                <w:lang w:val="en-US"/>
              </w:rPr>
              <w:t>3</w:t>
            </w:r>
            <w:r w:rsidRPr="00C9504C">
              <w:rPr>
                <w:rFonts w:ascii="Arial" w:hAnsi="Arial" w:cs="Arial"/>
                <w:sz w:val="20"/>
                <w:szCs w:val="20"/>
                <w:lang w:val="en-US"/>
              </w:rPr>
              <w:t>BO</w:t>
            </w:r>
            <w:r w:rsidRPr="00C9504C">
              <w:rPr>
                <w:rFonts w:ascii="Arial" w:hAnsi="Arial" w:cs="Arial"/>
                <w:sz w:val="20"/>
                <w:szCs w:val="20"/>
                <w:vertAlign w:val="subscript"/>
                <w:lang w:val="en-US"/>
              </w:rPr>
              <w:t>3</w:t>
            </w:r>
          </w:p>
        </w:tc>
        <w:tc>
          <w:tcPr>
            <w:tcW w:w="1077" w:type="dxa"/>
            <w:shd w:val="clear" w:color="auto" w:fill="auto"/>
            <w:noWrap/>
          </w:tcPr>
          <w:p w14:paraId="09CA13E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2869E3E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75</w:t>
            </w:r>
            <w:r w:rsidRPr="0085132E">
              <w:rPr>
                <w:rFonts w:ascii="Arial" w:hAnsi="Arial" w:cs="Arial"/>
                <w:color w:val="000000" w:themeColor="text1"/>
                <w:sz w:val="20"/>
                <w:szCs w:val="20"/>
                <w:lang w:val="en-US"/>
              </w:rPr>
              <w:t>%</w:t>
            </w:r>
            <w:r w:rsidRPr="00C9504C">
              <w:rPr>
                <w:rFonts w:ascii="Arial" w:hAnsi="Arial" w:cs="Arial"/>
                <w:sz w:val="20"/>
                <w:szCs w:val="20"/>
                <w:lang w:val="en-US"/>
              </w:rPr>
              <w:t>−125%</w:t>
            </w:r>
          </w:p>
          <w:p w14:paraId="0157DE3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Acc.:</w:t>
            </w:r>
          </w:p>
          <w:p w14:paraId="22F5D08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±20%</w:t>
            </w:r>
          </w:p>
        </w:tc>
        <w:tc>
          <w:tcPr>
            <w:tcW w:w="907" w:type="dxa"/>
          </w:tcPr>
          <w:p w14:paraId="4B4CD8D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2786</w:t>
            </w:r>
          </w:p>
        </w:tc>
        <w:tc>
          <w:tcPr>
            <w:tcW w:w="1247" w:type="dxa"/>
          </w:tcPr>
          <w:p w14:paraId="5E280F6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PMF, ILCR</w:t>
            </w:r>
          </w:p>
        </w:tc>
        <w:tc>
          <w:tcPr>
            <w:tcW w:w="907" w:type="dxa"/>
          </w:tcPr>
          <w:p w14:paraId="41E4C43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{"citationID":"1ng61v8E","properties":{"formattedCitation":"(38)","plainCitation":"(38)","dontUpdate":true,"noteIndex":0},"citationItems":[{"id":1057,"uris":["http://zotero.org/users/12446040/items/8NHQTB6D"],"itemData":{"id":1057,"type":"article-journal","abstract":"The levels and characteristics of atmospheric metals vary in time and location, can result in various health impacts, which increases the challenge of air quality management. We aimed to investigate PM2.5-bound metals in multiple locations and propose a methodology for comparing metal elements across study regions and prioritizing source contributions through integrated health risk assessments. PM2.5-bound metals were collected in the urban, suburban, rural, and industrial regions of Taiwan between 2016 and 2018. We incorporated the positive matrix factorization (PMF) with health risk assessments (considering estimates of the margin of exposure (MOE) and excess cancer risk (ECR)) to prioritize sources for control. We found that the concentrations of Fe, Zn, V, Cu, and Mn (industry-related metals) were higher at the industrial site (Kaohsiung) and Ba, Cr, Ni, Mo, and Co (traffic-related metals) were higher at the urban site (Taipei). The rural site (Hualian) had good air quality, with low PM2.5 and metal concentrations. Most metal concentrations were higher during the cold season for all study sites, except for the rural. Ambient concentrations of Mn, Cr, and Pb obtained from all study sites presents a higher health risk of concern. In Kaohsiung, south Taiwan, PM2.5-bound metals from the iron ore and steel factory is suggested as the first target for control based on the calculated health risks (MOE &lt; 1 and ECR &gt; 10−6). Overall, we proposed an integrated strategy for initiating the source management prioritization of PM2.5-bound metals, which can aid an effort for policymaking.","container-title":"Environmental Pollution","DOI":"10.1016/j.envpol.2021.116652","ISSN":"0269-7491","journalAbbreviation":"Environmental Pollution","page":"116652","source":"ScienceDirect","title":"Integrated analysis of source-specific risks for PM2.5-bound metals in urban, suburban, rural, and industrial areas","volume":"275","author":[{"family":"Hsu","given":"Chin-Yu"},{"family":"Chi","given":"Kai-Hsien"},{"family":"Wu","given":"Chih-Da"},{"family":"Lin","given":"Sheng-Lun"},{"family":"Hsu","given":"Wen-Chang"},{"family":"Tseng","given":"Chun-Chieh"},{"family":"Chen","given":"Mu-Jean"},{"family":"Chen","given":"Yu-Cheng"}],"issued":{"date-parts":[["2021",4,15]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[38]</w:t>
            </w:r>
            <w:r w:rsidRPr="00C9504C">
              <w:rPr>
                <w:rFonts w:ascii="Arial" w:hAnsi="Arial" w:cs="Arial"/>
                <w:sz w:val="20"/>
                <w:szCs w:val="20"/>
              </w:rPr>
              <w:fldChar w:fldCharType="end"/>
            </w:r>
          </w:p>
        </w:tc>
      </w:tr>
      <w:tr w:rsidR="006751F9" w:rsidRPr="00AE1E24" w14:paraId="09DE2731" w14:textId="77777777" w:rsidTr="00420FF2">
        <w:trPr>
          <w:trHeight w:val="300"/>
          <w:jc w:val="center"/>
        </w:trPr>
        <w:tc>
          <w:tcPr>
            <w:tcW w:w="737" w:type="dxa"/>
            <w:shd w:val="clear" w:color="auto" w:fill="auto"/>
            <w:noWrap/>
          </w:tcPr>
          <w:p w14:paraId="05E1538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−PM</w:t>
            </w:r>
            <w:r w:rsidRPr="00C9504C">
              <w:rPr>
                <w:rFonts w:ascii="Arial" w:hAnsi="Arial" w:cs="Arial"/>
                <w:sz w:val="20"/>
                <w:szCs w:val="20"/>
                <w:vertAlign w:val="subscript"/>
                <w:lang w:val="en-US"/>
              </w:rPr>
              <w:t>&lt;0.1</w:t>
            </w:r>
          </w:p>
        </w:tc>
        <w:tc>
          <w:tcPr>
            <w:tcW w:w="1417" w:type="dxa"/>
            <w:shd w:val="clear" w:color="auto" w:fill="auto"/>
            <w:noWrap/>
          </w:tcPr>
          <w:p w14:paraId="304D333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Ljubljana, </w:t>
            </w:r>
            <w:proofErr w:type="spellStart"/>
            <w:r w:rsidRPr="00C9504C">
              <w:rPr>
                <w:rFonts w:ascii="Arial" w:hAnsi="Arial" w:cs="Arial"/>
                <w:sz w:val="20"/>
                <w:szCs w:val="20"/>
                <w:lang w:val="en-US"/>
              </w:rPr>
              <w:t>Dobrova</w:t>
            </w:r>
            <w:proofErr w:type="spellEnd"/>
            <w:r w:rsidRPr="00C9504C">
              <w:rPr>
                <w:rFonts w:ascii="Arial" w:hAnsi="Arial" w:cs="Arial"/>
                <w:sz w:val="20"/>
                <w:szCs w:val="20"/>
                <w:lang w:val="en-US"/>
              </w:rPr>
              <w:t>, Maribor, Slovenia</w:t>
            </w:r>
          </w:p>
        </w:tc>
        <w:tc>
          <w:tcPr>
            <w:tcW w:w="1191" w:type="dxa"/>
            <w:shd w:val="clear" w:color="auto" w:fill="auto"/>
            <w:noWrap/>
          </w:tcPr>
          <w:p w14:paraId="1CB375ED"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GL</w:t>
            </w:r>
          </w:p>
        </w:tc>
        <w:tc>
          <w:tcPr>
            <w:tcW w:w="1134" w:type="dxa"/>
            <w:shd w:val="clear" w:color="auto" w:fill="auto"/>
            <w:noWrap/>
          </w:tcPr>
          <w:p w14:paraId="2BBFD2B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2023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7902740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6E29262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12 L min</w:t>
            </w:r>
            <w:r w:rsidRPr="00C9504C">
              <w:rPr>
                <w:rFonts w:ascii="Arial" w:hAnsi="Arial" w:cs="Arial"/>
                <w:sz w:val="20"/>
                <w:szCs w:val="20"/>
                <w:vertAlign w:val="superscript"/>
                <w:lang w:val="en-US"/>
              </w:rPr>
              <w:t>−1</w:t>
            </w:r>
          </w:p>
        </w:tc>
        <w:tc>
          <w:tcPr>
            <w:tcW w:w="794" w:type="dxa"/>
            <w:shd w:val="clear" w:color="auto" w:fill="auto"/>
            <w:noWrap/>
          </w:tcPr>
          <w:p w14:paraId="3BAADD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24F3C3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p w14:paraId="36ABF2C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PAHs</w:t>
            </w:r>
          </w:p>
        </w:tc>
        <w:tc>
          <w:tcPr>
            <w:tcW w:w="1134" w:type="dxa"/>
          </w:tcPr>
          <w:p w14:paraId="7D8EA66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p w14:paraId="6493520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02BFAE3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HF, HCl;</w:t>
            </w:r>
          </w:p>
          <w:p w14:paraId="0E8C3B1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MSE with Pet Eth and Ace</w:t>
            </w:r>
          </w:p>
        </w:tc>
        <w:tc>
          <w:tcPr>
            <w:tcW w:w="1077" w:type="dxa"/>
            <w:shd w:val="clear" w:color="auto" w:fill="auto"/>
            <w:noWrap/>
          </w:tcPr>
          <w:p w14:paraId="34C4C9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7C6EC37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 for metals, 3% for PAHs,</w:t>
            </w:r>
          </w:p>
          <w:p w14:paraId="404E7B2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Acc.:</w:t>
            </w:r>
          </w:p>
          <w:p w14:paraId="1DD7AB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 for metals, 6% for PAHs;</w:t>
            </w:r>
          </w:p>
          <w:p w14:paraId="75D4DB1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01E684F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96</w:t>
            </w:r>
            <w:r w:rsidRPr="0085132E">
              <w:rPr>
                <w:rFonts w:ascii="Arial" w:hAnsi="Arial" w:cs="Arial"/>
                <w:color w:val="000000" w:themeColor="text1"/>
                <w:sz w:val="20"/>
                <w:szCs w:val="20"/>
                <w:lang w:val="en-US"/>
              </w:rPr>
              <w:t>%</w:t>
            </w:r>
            <w:r w:rsidRPr="00C9504C">
              <w:rPr>
                <w:rFonts w:ascii="Arial" w:hAnsi="Arial" w:cs="Arial"/>
                <w:sz w:val="20"/>
                <w:szCs w:val="20"/>
                <w:lang w:val="en-US"/>
              </w:rPr>
              <w:t>−103%</w:t>
            </w:r>
          </w:p>
        </w:tc>
        <w:tc>
          <w:tcPr>
            <w:tcW w:w="907" w:type="dxa"/>
          </w:tcPr>
          <w:p w14:paraId="038879D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1648a</w:t>
            </w:r>
          </w:p>
        </w:tc>
        <w:tc>
          <w:tcPr>
            <w:tcW w:w="1247" w:type="dxa"/>
          </w:tcPr>
          <w:p w14:paraId="25B7BD4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14E3FF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cH77EjHz","properties":{"formattedCitation":"(18)","plainCitation":"(18)","dontUpdate":true,"noteIndex":0},"citationItems":[{"id":"HbwwkMxO/8nGh31g8","uris":["http://zotero.org/users/12446040/items/4IZD8HVS"],"itemData":{"id":1433,"type":"article-journal","abstract":"A sampling device was developed for collecting and size-fractionating airborne particulate matter (PM). A low-volume cascade system with polytetrafluoroethylene membrane filters (PM10, PM2.5, and PM0.1) connected to an ultrapure-water trap was used to retain the PM&lt;0.1 fraction that passed through the filters. In the collected samples, metal(oid)s and platinum group elements (PGEs) were determined by inductively coupled plasma mass spectrometry after microwave-assisted digestion using a mixture of acids. Polycyclic aromatic hydrocarbons (PAHs) were extracted with a solvent mixture of acetone and petroleum ether, assisted by mechanical shaking and determined by gas chromatography mass spectrometry. The analytical methods were optimised and validated using the urban PM Standard Reference Material 1648a. Measurement repeatability and accuracy were 6% and 2% for metal(oid)s and PGEs, and 3% and 6% for PAHs, respectively. Field emission scanning electron microscopy analysis confirmed that the sampling device efficiently fractionated airborne PM to nano-sized particles. The sampling device was successfully applied to collect PM, enabling effective air pollution monitoring in urban areas. Analysis revealed that metal(oid)s were most abundant in PM10, while those originating from traffic were also elevated in PM&lt;0.1. High-molecular-weight PAHs were distributed between PM10 and PM2.5 fractions. The sampling device provides valuable insights into the chemical composition of (ultra)fine particles, overcoming the limitations of filter-based PM fractionation and providing improved air pollution control for nanoparticle-bound pollutants.","container-title":"Analytical Methods: Advancing Methods and Applications","DOI":"10.1039/d5ay00858a","ISSN":"1759-9679","journalAbbreviation":"Anal Methods","language":"eng","note":"PMID: 40878668","source":"PubMed","title":"An innovative sampling device for size-fractionating airborne particulate matter for improved air pollution control of metal(oid)s and polycyclic aromatic hydrocarbons","author":[{"family":"Ilenič","given":"Anja"},{"family":"Milačič Ščančar","given":"Radmila"},{"family":"Đurić","given":"Marija"},{"family":"Mauko Pranjić","given":"Alenka"},{"family":"Ščančar","given":"Janez"}],"issued":{"date-parts":[["2025",8,29]]}}}],"schema":"https://github.com/citation-style-language/schema/raw/master/csl-citation.json"}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[18]</w:t>
            </w:r>
            <w:r w:rsidRPr="00C9504C">
              <w:rPr>
                <w:rFonts w:ascii="Arial" w:hAnsi="Arial" w:cs="Arial"/>
                <w:sz w:val="20"/>
                <w:szCs w:val="20"/>
              </w:rPr>
              <w:fldChar w:fldCharType="end"/>
            </w:r>
          </w:p>
        </w:tc>
      </w:tr>
      <w:tr w:rsidR="006751F9" w:rsidRPr="00AE1E24" w14:paraId="0AA52D2F" w14:textId="77777777" w:rsidTr="00420FF2">
        <w:trPr>
          <w:trHeight w:val="300"/>
          <w:jc w:val="center"/>
        </w:trPr>
        <w:tc>
          <w:tcPr>
            <w:tcW w:w="737" w:type="dxa"/>
            <w:shd w:val="clear" w:color="auto" w:fill="auto"/>
            <w:noWrap/>
          </w:tcPr>
          <w:p w14:paraId="2A9236D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9</w:t>
            </w:r>
            <w:r w:rsidRPr="00C9504C">
              <w:rPr>
                <w:rFonts w:ascii="Arial" w:hAnsi="Arial" w:cs="Arial"/>
                <w:sz w:val="20"/>
                <w:szCs w:val="20"/>
                <w:lang w:val="en-US"/>
              </w:rPr>
              <w:t>−PM</w:t>
            </w:r>
            <w:r w:rsidRPr="00C9504C">
              <w:rPr>
                <w:rFonts w:ascii="Arial" w:hAnsi="Arial" w:cs="Arial"/>
                <w:sz w:val="20"/>
                <w:szCs w:val="20"/>
                <w:vertAlign w:val="subscript"/>
                <w:lang w:val="en-US"/>
              </w:rPr>
              <w:t>0.43</w:t>
            </w:r>
          </w:p>
        </w:tc>
        <w:tc>
          <w:tcPr>
            <w:tcW w:w="1417" w:type="dxa"/>
            <w:shd w:val="clear" w:color="auto" w:fill="auto"/>
            <w:noWrap/>
          </w:tcPr>
          <w:p w14:paraId="464EA27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Chiang Mai, Thailand</w:t>
            </w:r>
          </w:p>
        </w:tc>
        <w:tc>
          <w:tcPr>
            <w:tcW w:w="1191" w:type="dxa"/>
            <w:shd w:val="clear" w:color="auto" w:fill="auto"/>
            <w:noWrap/>
          </w:tcPr>
          <w:p w14:paraId="51BCAFC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4EB11C8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May 2019−Nov. 2019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7BA0EED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67F8837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28.3 L min</w:t>
            </w:r>
            <w:r w:rsidRPr="00C9504C">
              <w:rPr>
                <w:rFonts w:ascii="Arial" w:hAnsi="Arial" w:cs="Arial"/>
                <w:sz w:val="20"/>
                <w:szCs w:val="20"/>
                <w:vertAlign w:val="superscript"/>
                <w:lang w:val="en-US"/>
              </w:rPr>
              <w:t>−1</w:t>
            </w:r>
          </w:p>
        </w:tc>
        <w:tc>
          <w:tcPr>
            <w:tcW w:w="794" w:type="dxa"/>
            <w:shd w:val="clear" w:color="auto" w:fill="auto"/>
            <w:noWrap/>
          </w:tcPr>
          <w:p w14:paraId="43D8CE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F7486D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6465AC0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2B84DB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 Hx</w:t>
            </w:r>
          </w:p>
        </w:tc>
        <w:tc>
          <w:tcPr>
            <w:tcW w:w="1077" w:type="dxa"/>
            <w:shd w:val="clear" w:color="auto" w:fill="auto"/>
            <w:noWrap/>
          </w:tcPr>
          <w:p w14:paraId="22D4C4D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57901F4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91</w:t>
            </w:r>
            <w:r w:rsidRPr="0085132E">
              <w:rPr>
                <w:rFonts w:ascii="Arial" w:hAnsi="Arial" w:cs="Arial"/>
                <w:color w:val="000000" w:themeColor="text1"/>
                <w:sz w:val="20"/>
                <w:szCs w:val="20"/>
                <w:lang w:val="en-US"/>
              </w:rPr>
              <w:t>%</w:t>
            </w:r>
            <w:r w:rsidRPr="00C9504C">
              <w:rPr>
                <w:rFonts w:ascii="Arial" w:hAnsi="Arial" w:cs="Arial"/>
                <w:sz w:val="20"/>
                <w:szCs w:val="20"/>
                <w:lang w:val="en-US"/>
              </w:rPr>
              <w:t>−126%</w:t>
            </w:r>
          </w:p>
          <w:p w14:paraId="4F0CE9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3D5FB24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w:t>
            </w:r>
            <w:r w:rsidRPr="0085132E">
              <w:rPr>
                <w:rFonts w:ascii="Arial" w:hAnsi="Arial" w:cs="Arial"/>
                <w:color w:val="000000" w:themeColor="text1"/>
                <w:sz w:val="20"/>
                <w:szCs w:val="20"/>
                <w:lang w:val="en-US"/>
              </w:rPr>
              <w:t>%</w:t>
            </w:r>
            <w:r w:rsidRPr="00C9504C">
              <w:rPr>
                <w:rFonts w:ascii="Arial" w:hAnsi="Arial" w:cs="Arial"/>
                <w:sz w:val="20"/>
                <w:szCs w:val="20"/>
                <w:lang w:val="en-US"/>
              </w:rPr>
              <w:t>−11%</w:t>
            </w:r>
          </w:p>
        </w:tc>
        <w:tc>
          <w:tcPr>
            <w:tcW w:w="907" w:type="dxa"/>
          </w:tcPr>
          <w:p w14:paraId="1B4800B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1649b</w:t>
            </w:r>
          </w:p>
        </w:tc>
        <w:tc>
          <w:tcPr>
            <w:tcW w:w="1247" w:type="dxa"/>
          </w:tcPr>
          <w:p w14:paraId="344FACDE"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w:t>
            </w:r>
          </w:p>
        </w:tc>
        <w:tc>
          <w:tcPr>
            <w:tcW w:w="907" w:type="dxa"/>
          </w:tcPr>
          <w:p w14:paraId="6FA792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PUwzN1Ep","properties":{"formattedCitation":"(39)","plainCitation":"(39)","dontUpdate":true,"noteIndex":0},"citationItems":[{"id":284,"uris":["http://zotero.org/users/12446040/items/XFCWY9L3"],"itemData":{"id":284,"type":"article-journal","abstract":"Size-fractionated particulate matters (SPMs) in a range of 9.0 to 0.43 μm, classified based on aerodynamic diameter (dae) as fine PMs (0.43 μm ≤ dae &lt; 2.1 μm) and coarse PMs (2.1 μm ≤ dae &lt; 9.0 μm) were collected by cascade impactors (7 fractions) during smoke haze (SH) and non-smoke haze (NSH) seasons in urban and rural areas of Chiang Mai, Thailand. Their polycyclic aromatic hydrocarbons (PAHs) compositions were determined for respiratory health risk assessment. During SH episode, concentrations of SPMs and PAHs in the rural area were approximately two times higher than in the urban area and about 62–68% of the SPMs were fine particles. Conversely, during NSH season the concentrations in the urban area were higher due to traffic emission. The finest particle sizes (0.65–0.43 μm) contained the highest PAHs concentrations among the other PM sizes. Benzo[b]fluoranthene was a main PAH component found during SH season suggesting biomass burning is a major pollutant source. High molecular weight (5–6 rings) PAHs with high carcinogenicity were likely to concentrate in fine particles. Distribution patterns of SPMs and PAHs during SH season were bimodal with the highest peak at a fine size range (0.65–0.43 μm) and a small peak at a coarse size range (5.8–4.7 μm). Respiratory health risk was estimated based on toxicity equivalent concentrations of PAHs bound-SPMs and inhalation cancer risk (ICR). Relatively high ICR values (1.14 × 10−4 (rural) and 6.80 × 10−5 (urban)) were found during SH season in both areas, in which fine particles played an important role. It revealed that high concentration of fine particles in ambient air is related to high respiratory health risk due to high content of carcinogenic substances.","container-title":"Environmental Pollution","DOI":"10.1016/j.envpol.2021.118488","ISSN":"0269-7491","journalAbbreviation":"Environmental Pollution","page":"118488","source":"ScienceDirect","title":"Size-fractionated PM-bound PAHs in urban and rural atmospheres of northern Thailand for respiratory health risk assessment","volume":"293","author":[{"family":"Insian","given":"Wittawat"},{"family":"Yabueng","given":"Nuttipon"},{"family":"Wiriya","given":"Wan"},{"family":"Chantara","given":"Somporn"}],"issued":{"date-parts":[["2022",1,15]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[39]</w:t>
            </w:r>
            <w:r w:rsidRPr="00C9504C">
              <w:rPr>
                <w:rFonts w:ascii="Arial" w:hAnsi="Arial" w:cs="Arial"/>
                <w:sz w:val="20"/>
                <w:szCs w:val="20"/>
              </w:rPr>
              <w:fldChar w:fldCharType="end"/>
            </w:r>
          </w:p>
        </w:tc>
      </w:tr>
      <w:tr w:rsidR="006751F9" w:rsidRPr="00AE1E24" w14:paraId="2E240B5E" w14:textId="77777777" w:rsidTr="00420FF2">
        <w:trPr>
          <w:trHeight w:val="300"/>
          <w:jc w:val="center"/>
        </w:trPr>
        <w:tc>
          <w:tcPr>
            <w:tcW w:w="737" w:type="dxa"/>
            <w:shd w:val="clear" w:color="auto" w:fill="auto"/>
            <w:noWrap/>
          </w:tcPr>
          <w:p w14:paraId="7DC30C0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r w:rsidRPr="00C9504C">
              <w:rPr>
                <w:rFonts w:ascii="Arial" w:hAnsi="Arial" w:cs="Arial"/>
                <w:sz w:val="20"/>
                <w:szCs w:val="20"/>
                <w:lang w:val="en-US"/>
              </w:rPr>
              <w:t>, PM</w:t>
            </w:r>
            <w:r w:rsidRPr="00C9504C">
              <w:rPr>
                <w:rFonts w:ascii="Arial" w:hAnsi="Arial" w:cs="Arial"/>
                <w:sz w:val="20"/>
                <w:szCs w:val="20"/>
                <w:vertAlign w:val="subscript"/>
                <w:lang w:val="en-US"/>
              </w:rPr>
              <w:t>1</w:t>
            </w:r>
          </w:p>
        </w:tc>
        <w:tc>
          <w:tcPr>
            <w:tcW w:w="1417" w:type="dxa"/>
            <w:shd w:val="clear" w:color="auto" w:fill="auto"/>
            <w:noWrap/>
          </w:tcPr>
          <w:p w14:paraId="3EB0A1D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Zagreb, Croatia</w:t>
            </w:r>
          </w:p>
        </w:tc>
        <w:tc>
          <w:tcPr>
            <w:tcW w:w="1191" w:type="dxa"/>
            <w:shd w:val="clear" w:color="auto" w:fill="auto"/>
            <w:noWrap/>
          </w:tcPr>
          <w:p w14:paraId="193C706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GL</w:t>
            </w:r>
          </w:p>
        </w:tc>
        <w:tc>
          <w:tcPr>
            <w:tcW w:w="1134" w:type="dxa"/>
            <w:shd w:val="clear" w:color="auto" w:fill="auto"/>
            <w:noWrap/>
          </w:tcPr>
          <w:p w14:paraId="3EB19A2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2013–Dec. 2013 (1095)</w:t>
            </w:r>
          </w:p>
        </w:tc>
        <w:tc>
          <w:tcPr>
            <w:tcW w:w="1134" w:type="dxa"/>
            <w:shd w:val="clear" w:color="auto" w:fill="auto"/>
            <w:noWrap/>
          </w:tcPr>
          <w:p w14:paraId="3E72B4F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51960E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94" w:type="dxa"/>
            <w:shd w:val="clear" w:color="auto" w:fill="auto"/>
            <w:noWrap/>
          </w:tcPr>
          <w:p w14:paraId="04C84D3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134798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3CBE4F3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HPLC</w:t>
            </w:r>
          </w:p>
        </w:tc>
        <w:tc>
          <w:tcPr>
            <w:tcW w:w="1134" w:type="dxa"/>
            <w:shd w:val="clear" w:color="auto" w:fill="auto"/>
            <w:noWrap/>
          </w:tcPr>
          <w:p w14:paraId="6BF28B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UAE with </w:t>
            </w:r>
            <w:proofErr w:type="spellStart"/>
            <w:r w:rsidRPr="00C9504C">
              <w:rPr>
                <w:rFonts w:ascii="Arial" w:hAnsi="Arial" w:cs="Arial"/>
                <w:sz w:val="20"/>
                <w:szCs w:val="20"/>
                <w:lang w:val="en-US"/>
              </w:rPr>
              <w:t>Tol</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Chx</w:t>
            </w:r>
            <w:proofErr w:type="spellEnd"/>
          </w:p>
        </w:tc>
        <w:tc>
          <w:tcPr>
            <w:tcW w:w="1077" w:type="dxa"/>
            <w:shd w:val="clear" w:color="auto" w:fill="auto"/>
            <w:noWrap/>
          </w:tcPr>
          <w:p w14:paraId="52D73FB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Acc.:</w:t>
            </w:r>
          </w:p>
          <w:p w14:paraId="26B476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73</w:t>
            </w:r>
            <w:r w:rsidRPr="0085132E">
              <w:rPr>
                <w:rFonts w:ascii="Arial" w:hAnsi="Arial" w:cs="Arial"/>
                <w:color w:val="000000" w:themeColor="text1"/>
                <w:sz w:val="20"/>
                <w:szCs w:val="20"/>
                <w:lang w:val="en-US"/>
              </w:rPr>
              <w:t>%</w:t>
            </w:r>
            <w:r w:rsidRPr="00C9504C">
              <w:rPr>
                <w:rFonts w:ascii="Arial" w:hAnsi="Arial" w:cs="Arial"/>
                <w:sz w:val="20"/>
                <w:szCs w:val="20"/>
                <w:lang w:val="en-US"/>
              </w:rPr>
              <w:t xml:space="preserve">−110% </w:t>
            </w:r>
          </w:p>
          <w:p w14:paraId="7443FA7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6EED0EF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&gt;75%</w:t>
            </w:r>
          </w:p>
        </w:tc>
        <w:tc>
          <w:tcPr>
            <w:tcW w:w="907" w:type="dxa"/>
          </w:tcPr>
          <w:p w14:paraId="1764AC5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1649b</w:t>
            </w:r>
          </w:p>
        </w:tc>
        <w:tc>
          <w:tcPr>
            <w:tcW w:w="1247" w:type="dxa"/>
          </w:tcPr>
          <w:p w14:paraId="0C347AD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FA, LRM</w:t>
            </w:r>
          </w:p>
        </w:tc>
        <w:tc>
          <w:tcPr>
            <w:tcW w:w="907" w:type="dxa"/>
          </w:tcPr>
          <w:p w14:paraId="545A7AC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{"citationID":"DgtABGIe","properties":{"formattedCitation":"(13)","plainCitation":"(13)","dontUpdate":true,"noteIndex":0},"citationItems":[{"id":712,"uris":["http://zotero.org/users/12446040/items/2E94I3D7"],"itemData":{"id":712,"type":"article-journal","abstract":"Inhalation of atmospheric polycyclic aromatic hydrocarbons (PAHs) bound to particulate matter can have adverse effects on human health. Particle size plays an important role in assessing health risks. The aim of this study was to compare concentrations of PAHs in different particle fractions. Measurements of PAHs were carried out in Zagreb, the capital of Croatia (~ 790,000 inhabitants). The measuring station was located in the northern, residential part of Zagreb, close to a street with modest traffic density. Twenty-four-hour samples of PM10, PM2.5 and PM1 particle fraction were collected on quartz filters using a low-volume sampler from about 50 m3 of air. Three fractions were collected from January to December 2013. The analysis was performed using high-performance liquid chromatography (HPLC) with a fluorescence detector and time-programmed changes in excitation and emission. Comparison of PAH content in PM10 and PM2.5 particle fractions revealed that more than 80% of PAHs measured in winter were bound to the smaller particle fraction (PM2.5), except for Chry, IP and DahA. In summer, more than 60% of measured PAHs were bound to PM2.5 particles, except for DahA, while in spring, more than 50% of measured PAHs were bound to PM2.5 particles, except for Flu, BaP and BbF. Furthermore, comparing PAH content in PM1 and PM2.5 fractions, we found that most PAHs were bound to particle fraction PM1, and the percentage of PAHs in PM1 was the highest in winter (more than 90%). Factor analysis showed that most of the PAHs bound to PM10, PM2.5 and PM1 probably had identical sources in winter, spring and summer (house heating and traffic), and the only significant difference in origin was found in autumn for PAHs bound to PM2.5 and PM1 fractions.","container-title":"Air Quality, Atmosphere &amp; Health","DOI":"10.1007/s11869-018-0603-3","ISSN":"1873-9326","issue":"7","journalAbbreviation":"Air Qual Atmos Health","language":"en","page":"843-854","source":"Springer Link","title":"Polycyclic aromatic hydrocarbons in PM10, PM2.5 and PM1 particle fractions in an urban area","volume":"11","author":[{"family":"Jakovljević","given":"Ivana"},{"family":"Pehnec","given":"Gordana"},{"family":"Vađić","given":"Vladimira"},{"family":"Čačković","given":"Mirjana"},{"family":"Tomašić","given":"Vesna"},{"family":"Jelinić","given":"Jagoda Doko"}],"issued":{"date-parts":[["2018",8,1]]}}}],"schema":"https://github.com/citation-style-language/schema/raw/master/csl-citation.json"}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[13]</w:t>
            </w:r>
            <w:r w:rsidRPr="00C9504C">
              <w:rPr>
                <w:rFonts w:ascii="Arial" w:hAnsi="Arial" w:cs="Arial"/>
                <w:sz w:val="20"/>
                <w:szCs w:val="20"/>
              </w:rPr>
              <w:fldChar w:fldCharType="end"/>
            </w:r>
          </w:p>
        </w:tc>
      </w:tr>
      <w:tr w:rsidR="006751F9" w:rsidRPr="00AE1E24" w14:paraId="5C148ADE" w14:textId="77777777" w:rsidTr="00420FF2">
        <w:trPr>
          <w:trHeight w:val="300"/>
          <w:jc w:val="center"/>
        </w:trPr>
        <w:tc>
          <w:tcPr>
            <w:tcW w:w="737" w:type="dxa"/>
            <w:shd w:val="clear" w:color="auto" w:fill="auto"/>
            <w:noWrap/>
          </w:tcPr>
          <w:p w14:paraId="37D4D30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7AB101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Kuala Lumpur, </w:t>
            </w:r>
            <w:proofErr w:type="spellStart"/>
            <w:r w:rsidRPr="00C9504C">
              <w:rPr>
                <w:rFonts w:ascii="Arial" w:hAnsi="Arial" w:cs="Arial"/>
                <w:sz w:val="20"/>
                <w:szCs w:val="20"/>
                <w:lang w:val="en-US"/>
              </w:rPr>
              <w:t>Petaling</w:t>
            </w:r>
            <w:proofErr w:type="spellEnd"/>
            <w:r w:rsidRPr="00C9504C">
              <w:rPr>
                <w:rFonts w:ascii="Arial" w:hAnsi="Arial" w:cs="Arial"/>
                <w:sz w:val="20"/>
                <w:szCs w:val="20"/>
                <w:lang w:val="en-US"/>
              </w:rPr>
              <w:t xml:space="preserve"> Jaya, </w:t>
            </w:r>
            <w:proofErr w:type="spellStart"/>
            <w:r w:rsidRPr="00C9504C">
              <w:rPr>
                <w:rFonts w:ascii="Arial" w:hAnsi="Arial" w:cs="Arial"/>
                <w:sz w:val="20"/>
                <w:szCs w:val="20"/>
                <w:lang w:val="en-US"/>
              </w:rPr>
              <w:t>Bangi</w:t>
            </w:r>
            <w:proofErr w:type="spellEnd"/>
            <w:r w:rsidRPr="00C9504C">
              <w:rPr>
                <w:rFonts w:ascii="Arial" w:hAnsi="Arial" w:cs="Arial"/>
                <w:sz w:val="20"/>
                <w:szCs w:val="20"/>
                <w:lang w:val="en-US"/>
              </w:rPr>
              <w:t>, Malaysia</w:t>
            </w:r>
          </w:p>
        </w:tc>
        <w:tc>
          <w:tcPr>
            <w:tcW w:w="1191" w:type="dxa"/>
            <w:shd w:val="clear" w:color="auto" w:fill="auto"/>
            <w:noWrap/>
          </w:tcPr>
          <w:p w14:paraId="739FB14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GL, EL</w:t>
            </w:r>
          </w:p>
        </w:tc>
        <w:tc>
          <w:tcPr>
            <w:tcW w:w="1134" w:type="dxa"/>
            <w:shd w:val="clear" w:color="auto" w:fill="auto"/>
            <w:noWrap/>
          </w:tcPr>
          <w:p w14:paraId="5061B2E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Sep. 2010–Apr. 2011 (53)</w:t>
            </w:r>
          </w:p>
        </w:tc>
        <w:tc>
          <w:tcPr>
            <w:tcW w:w="1134" w:type="dxa"/>
            <w:shd w:val="clear" w:color="auto" w:fill="auto"/>
            <w:noWrap/>
          </w:tcPr>
          <w:p w14:paraId="4F1969B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1CF864F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00475F3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w:t>
            </w:r>
          </w:p>
        </w:tc>
        <w:tc>
          <w:tcPr>
            <w:tcW w:w="1191" w:type="dxa"/>
            <w:shd w:val="clear" w:color="auto" w:fill="auto"/>
            <w:noWrap/>
          </w:tcPr>
          <w:p w14:paraId="4D1D370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74D58E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3FC1A22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 MeOH</w:t>
            </w:r>
          </w:p>
        </w:tc>
        <w:tc>
          <w:tcPr>
            <w:tcW w:w="1077" w:type="dxa"/>
            <w:shd w:val="clear" w:color="auto" w:fill="auto"/>
            <w:noWrap/>
          </w:tcPr>
          <w:p w14:paraId="02776FC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3B08714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61</w:t>
            </w:r>
            <w:r w:rsidRPr="0085132E">
              <w:rPr>
                <w:rFonts w:ascii="Arial" w:hAnsi="Arial" w:cs="Arial"/>
                <w:color w:val="000000" w:themeColor="text1"/>
                <w:sz w:val="20"/>
                <w:szCs w:val="20"/>
                <w:lang w:val="en-US"/>
              </w:rPr>
              <w:t>%</w:t>
            </w:r>
            <w:r w:rsidRPr="00C9504C">
              <w:rPr>
                <w:rFonts w:ascii="Arial" w:hAnsi="Arial" w:cs="Arial"/>
                <w:sz w:val="20"/>
                <w:szCs w:val="20"/>
                <w:lang w:val="en-US"/>
              </w:rPr>
              <w:t>−116%</w:t>
            </w:r>
          </w:p>
        </w:tc>
        <w:tc>
          <w:tcPr>
            <w:tcW w:w="907" w:type="dxa"/>
          </w:tcPr>
          <w:p w14:paraId="4DED68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27BE070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PCA, LADD, ILCR, DR</w:t>
            </w:r>
          </w:p>
        </w:tc>
        <w:tc>
          <w:tcPr>
            <w:tcW w:w="907" w:type="dxa"/>
          </w:tcPr>
          <w:p w14:paraId="4021646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{"citationID":"tF5tcBN0","properties":{"formattedCitation":"(40)","plainCitation":"(40)","dontUpdate":true,"noteIndex":0},"citationItems":[{"id":1138,"uris":["http://zotero.org/users/12446040/items/HHFQJ8YM"],"itemData":{"id":1138,"type":"article-journal","abstract":"Particulate matter (PM10) associated with polycyclic aromatic hydrocarbons (PAHs) in ambient air were determined at two sites within the Klang Valley, Kuala Lumpur (urban, KL) and Petaling Jaya (industrial, PJ), and one site outside the Klang Valley, Bangi (semi-urban, BG). This study aimed to determine the concentration and distribution of PAHs in PM10 and the source of origin through principal component analysis (PCA) and diagnostic ratio analysis. This study also assessed the health risk from exposure to airborne BaPeq. PM10 samples were collected on glass fiber filter paper using a High Volume Sampler (HVS) for 24 h between September 2010 and April 2011. The filter papers with PM10 were extracted using dichloromethane-methanol (3:1), and analysis of 16 USEPA priority PAHs was determined using gas chromatography with mass spectra (GC–MS). Health risk assessment was estimated using toxic equivalency factors (TEFs) and incremental lifetime cancer risk (ILCR) which quantitatively estimate the exposure risk for age specific group. The results showed that the total PAHs concentrations throughout seasonal monsoons for KL, PJ and BG ranged from 1.33 ng m−3 to 2.97 ng m−3, 2.24 ng m−3 to 4.84 ng m−3 and 1.64 ng m−3 to 3.45 ng m−3 respectively. More than 80% of total PAHs consisted of 5-ring and 6-ring PAHs such as benzo[a]pyrene (BaP), indeno[1,2,3-cd]pyrene (IcP), benzo[b]fluoranthene (BbF), benzo[k]fluoranthene (BkF) and benzo[g,h,i]perylene (BgP). The presence of benzo[g,h,i]perylene (BgP) with high concentration at all locations suggested a source indicator for traffic emission. PCA and diagnostic ratio analysis also suggested substantial contributions from traffic emission with minimal influence from coal combustion and natural gas emissions. The use of total BaPeq concentration provide a better estimation of carcinogenicity activities, where they contributed to more than 50% of the potential health risk. Health risk assessment showed that the estimated incremental lifetime cancer risk (ILCR) from exposure to airborne BaPeq is negligible at all sampling sites for all age specific group.","container-title":"Atmospheric Environment","DOI":"10.1016/j.atmosenv.2013.12.019","ISSN":"1352-2310","journalAbbreviation":"Atmospheric Environment","page":"16-27","source":"ScienceDirect","title":"Concentration and source identification of polycyclic aromatic hydrocarbons (PAHs) in PM10 of urban, industrial and semi-urban areas in Malaysia","volume":"86","author":[{"family":"Jamhari","given":"Anas Ahmad"},{"family":"Sahani","given":"Mazrura"},{"family":"Latif","given":"Mohd Talib"},{"family":"Chan","given":"Kok Meng"},{"family":"Tan","given":"Hock Seng"},{"family":"Khan","given":"Md Firoz"},{"family":"Mohd Tahir","given":"Norhayati"}],"issued":{"date-parts":[["2014",4,1]]}}}],"schema":"https://github.com/citation-style-language/schema/raw/master/csl-citation.json"}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[40</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29D6E668" w14:textId="77777777" w:rsidTr="00420FF2">
        <w:trPr>
          <w:trHeight w:val="300"/>
          <w:jc w:val="center"/>
        </w:trPr>
        <w:tc>
          <w:tcPr>
            <w:tcW w:w="737" w:type="dxa"/>
            <w:shd w:val="clear" w:color="auto" w:fill="auto"/>
            <w:noWrap/>
          </w:tcPr>
          <w:p w14:paraId="1B20583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r w:rsidRPr="00C9504C">
              <w:rPr>
                <w:rFonts w:ascii="Arial" w:hAnsi="Arial" w:cs="Arial"/>
                <w:sz w:val="20"/>
                <w:szCs w:val="20"/>
                <w:lang w:val="en-US"/>
              </w:rPr>
              <w:t>, PM</w:t>
            </w:r>
            <w:r w:rsidRPr="00C9504C">
              <w:rPr>
                <w:rFonts w:ascii="Arial" w:hAnsi="Arial" w:cs="Arial"/>
                <w:sz w:val="20"/>
                <w:szCs w:val="20"/>
                <w:vertAlign w:val="subscript"/>
                <w:lang w:val="en-US"/>
              </w:rPr>
              <w:t>1</w:t>
            </w:r>
          </w:p>
        </w:tc>
        <w:tc>
          <w:tcPr>
            <w:tcW w:w="1417" w:type="dxa"/>
            <w:shd w:val="clear" w:color="auto" w:fill="auto"/>
            <w:noWrap/>
          </w:tcPr>
          <w:p w14:paraId="42E6041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Žilina, Slovakia</w:t>
            </w:r>
          </w:p>
        </w:tc>
        <w:tc>
          <w:tcPr>
            <w:tcW w:w="1191" w:type="dxa"/>
            <w:shd w:val="clear" w:color="auto" w:fill="auto"/>
            <w:noWrap/>
          </w:tcPr>
          <w:p w14:paraId="0D37975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28B676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Oct. 2010–Jun. 2012 </w:t>
            </w:r>
            <w:r w:rsidRPr="00C9504C">
              <w:rPr>
                <w:rFonts w:ascii="Arial" w:hAnsi="Arial" w:cs="Arial"/>
                <w:sz w:val="20"/>
                <w:szCs w:val="20"/>
                <w:lang w:val="en-US"/>
              </w:rPr>
              <w:lastRenderedPageBreak/>
              <w:t>(324)</w:t>
            </w:r>
          </w:p>
        </w:tc>
        <w:tc>
          <w:tcPr>
            <w:tcW w:w="1134" w:type="dxa"/>
            <w:shd w:val="clear" w:color="auto" w:fill="auto"/>
            <w:noWrap/>
          </w:tcPr>
          <w:p w14:paraId="7AE5EFB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LVS</w:t>
            </w:r>
          </w:p>
        </w:tc>
        <w:tc>
          <w:tcPr>
            <w:tcW w:w="737" w:type="dxa"/>
            <w:shd w:val="clear" w:color="auto" w:fill="auto"/>
            <w:noWrap/>
          </w:tcPr>
          <w:p w14:paraId="622A4E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0C01D57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NCF</w:t>
            </w:r>
          </w:p>
        </w:tc>
        <w:tc>
          <w:tcPr>
            <w:tcW w:w="1191" w:type="dxa"/>
            <w:shd w:val="clear" w:color="auto" w:fill="auto"/>
            <w:noWrap/>
          </w:tcPr>
          <w:p w14:paraId="3D680B2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5B80C2D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75BF8C9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MSE with HNO</w:t>
            </w:r>
            <w:r w:rsidRPr="00C9504C">
              <w:rPr>
                <w:rFonts w:ascii="Arial" w:hAnsi="Arial" w:cs="Arial"/>
                <w:sz w:val="20"/>
                <w:szCs w:val="20"/>
                <w:vertAlign w:val="subscript"/>
                <w:lang w:val="en-US"/>
              </w:rPr>
              <w:t>3</w:t>
            </w:r>
            <w:r w:rsidRPr="00C9504C">
              <w:rPr>
                <w:rFonts w:ascii="Arial" w:hAnsi="Arial" w:cs="Arial"/>
                <w:sz w:val="20"/>
                <w:szCs w:val="20"/>
                <w:lang w:val="en-US"/>
              </w:rPr>
              <w:t>, HF</w:t>
            </w:r>
          </w:p>
        </w:tc>
        <w:tc>
          <w:tcPr>
            <w:tcW w:w="1077" w:type="dxa"/>
            <w:shd w:val="clear" w:color="auto" w:fill="auto"/>
            <w:noWrap/>
          </w:tcPr>
          <w:p w14:paraId="5082736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3792D0F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1667B90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PCA, FA, APCS, MRA</w:t>
            </w:r>
          </w:p>
        </w:tc>
        <w:tc>
          <w:tcPr>
            <w:tcW w:w="907" w:type="dxa"/>
          </w:tcPr>
          <w:p w14:paraId="2431E97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{"citationID":"ygahvLcP","properties":{"formattedCitation":"(41)","plainCitation":"(41)","dontUpdate":true,"noteIndex":0},"citationItems":[{"id":554,"uris":["http://zotero.org/users/12446040/items/MBBPPNYA"],"itemData":{"id":554,"type":"article-journal","abstract":"A detailed investigation was conducted to study the sources of particulate matter in the vicinity of an urban road in Žilina. To determine the amount of particulate matter (PM10, PM2.5 and PM1) present in the ambient air, a reference gravimetric method was used. The main objective of this contribution was to identify the sources of these particles by means of statistical methods, specifically principal component analysis (PCA), factor analysis (FA), and absolute principal component scores (APCS), as well as using the presence of 17 metals in the particulate matter (Na, Mg, Al, Ca, V, Cr, Fe, Mn, Ni, Cu, Zn, As, Mo, Sb, Cd, Ba, Pb). To identify the metals in the particulate matter samples and to determine their abundances, spectroscopic methods were used, specifically inductively coupled plasma mass spectrometry (ICP-MS). Each of these metals may come from a specific source, such as the burning of fossil fuels in fossil fuel power plants; local heating of households; the burning of liquefied fossil fuels in the combustion engines of vehicles; the burning of coal and wood; non-combustion related emissions resulting from vehicular traffic; resuspension of traffic-related dust; and industry. Diesel vehicles and non-combustion emissions from road traffic have been identified as two key sources of the particulate matter. The results reveal that non-combustion emissions, which are associated with the elements Na, Fe, Mn, Ni, Zn, Mo, Sb, Cd, and Pb, are the major contributors, followed by combustion emissions from diesel vehicles, which are associated with the elements Mg, Ca, and Ba.","container-title":"Transportation Research Part D: Transport and Environment","DOI":"10.1016/j.trd.2016.11.024","ISSN":"1361-9209","journalAbbreviation":"Transportation Research Part D: Transport and Environment","page":"397-408","source":"ScienceDirect","title":"The contribution of road traffic to particulate matter and metals in air pollution in the vicinity of an urban road","volume":"50","author":[{"family":"Jandacka","given":"Dusan"},{"family":"Durcanska","given":"Daniela"},{"family":"Bujdos","given":"Marek"}],"issued":{"date-parts":[["2017",1,1]]}}}],"schema":"https://github.com/citation-style-language/schema/raw/master/csl-citation.json"}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[41</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410473B6" w14:textId="77777777" w:rsidTr="00420FF2">
        <w:trPr>
          <w:trHeight w:val="300"/>
          <w:jc w:val="center"/>
        </w:trPr>
        <w:tc>
          <w:tcPr>
            <w:tcW w:w="737" w:type="dxa"/>
            <w:shd w:val="clear" w:color="auto" w:fill="auto"/>
            <w:noWrap/>
          </w:tcPr>
          <w:p w14:paraId="3451EBA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45C9AD79" w14:textId="77777777" w:rsidR="006751F9"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Helsinki, Turku, </w:t>
            </w:r>
          </w:p>
          <w:p w14:paraId="6510CBF4" w14:textId="77777777" w:rsidR="006751F9" w:rsidRPr="00C9504C" w:rsidRDefault="006751F9" w:rsidP="00420FF2">
            <w:pPr>
              <w:spacing w:after="0" w:line="240" w:lineRule="exact"/>
              <w:jc w:val="center"/>
              <w:rPr>
                <w:rFonts w:ascii="Arial" w:hAnsi="Arial" w:cs="Arial"/>
                <w:sz w:val="20"/>
                <w:szCs w:val="20"/>
                <w:lang w:val="en-US"/>
              </w:rPr>
            </w:pPr>
            <w:r>
              <w:rPr>
                <w:rFonts w:ascii="Arial" w:hAnsi="Arial" w:cs="Arial"/>
                <w:sz w:val="20"/>
                <w:szCs w:val="20"/>
                <w:lang w:val="en-US"/>
              </w:rPr>
              <w:t xml:space="preserve">Finland; Oslo, </w:t>
            </w:r>
            <w:r w:rsidRPr="00C9504C">
              <w:rPr>
                <w:rFonts w:ascii="Arial" w:hAnsi="Arial" w:cs="Arial"/>
                <w:sz w:val="20"/>
                <w:szCs w:val="20"/>
                <w:lang w:val="en-US"/>
              </w:rPr>
              <w:t>Norway; Copenhagen, Denmark; London, Oxford, United Kingdom, Rotterdam, Ams</w:t>
            </w:r>
            <w:r>
              <w:rPr>
                <w:rFonts w:ascii="Arial" w:hAnsi="Arial" w:cs="Arial"/>
                <w:sz w:val="20"/>
                <w:szCs w:val="20"/>
                <w:lang w:val="en-US"/>
              </w:rPr>
              <w:t>terdam, Groningen, Amersfoort, t</w:t>
            </w:r>
            <w:r w:rsidRPr="00C9504C">
              <w:rPr>
                <w:rFonts w:ascii="Arial" w:hAnsi="Arial" w:cs="Arial"/>
                <w:sz w:val="20"/>
                <w:szCs w:val="20"/>
                <w:lang w:val="en-US"/>
              </w:rPr>
              <w:t>he Netherlands; Munich, Augsburg, Germany; Paris, France; Rome, Italy; Catalonia, Spain; Athens; Greece</w:t>
            </w:r>
          </w:p>
        </w:tc>
        <w:tc>
          <w:tcPr>
            <w:tcW w:w="1191" w:type="dxa"/>
            <w:shd w:val="clear" w:color="auto" w:fill="auto"/>
            <w:noWrap/>
          </w:tcPr>
          <w:p w14:paraId="506D370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08E56DF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Oct. 2008–Apr. 2011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64B7CB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7A0CD7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 L min</w:t>
            </w:r>
            <w:r w:rsidRPr="00C9504C">
              <w:rPr>
                <w:rFonts w:ascii="Arial" w:hAnsi="Arial" w:cs="Arial"/>
                <w:sz w:val="20"/>
                <w:szCs w:val="20"/>
                <w:vertAlign w:val="superscript"/>
                <w:lang w:val="en-US"/>
              </w:rPr>
              <w:t>−1</w:t>
            </w:r>
          </w:p>
        </w:tc>
        <w:tc>
          <w:tcPr>
            <w:tcW w:w="794" w:type="dxa"/>
            <w:shd w:val="clear" w:color="auto" w:fill="auto"/>
            <w:noWrap/>
          </w:tcPr>
          <w:p w14:paraId="59BBEEE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 GFF</w:t>
            </w:r>
          </w:p>
        </w:tc>
        <w:tc>
          <w:tcPr>
            <w:tcW w:w="1191" w:type="dxa"/>
            <w:shd w:val="clear" w:color="auto" w:fill="auto"/>
            <w:noWrap/>
          </w:tcPr>
          <w:p w14:paraId="19C8FD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4EC2E13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2546CC9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Tol</w:t>
            </w:r>
          </w:p>
        </w:tc>
        <w:tc>
          <w:tcPr>
            <w:tcW w:w="1077" w:type="dxa"/>
            <w:shd w:val="clear" w:color="auto" w:fill="auto"/>
            <w:noWrap/>
          </w:tcPr>
          <w:p w14:paraId="28231C3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65FD2FC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3D1EFD6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68EC018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{"citationID":"VnoMSY3o","properties":{"formattedCitation":"(42)","plainCitation":"(42)","dontUpdate":true,"noteIndex":0},"citationItems":[{"id":778,"uris":["http://zotero.org/users/12446040/items/H9WJVSBX"],"itemData":{"id":778,"type":"article-journal","abstract":"Limited information is available on the contribution of organic components in particulate matter to health effects related to fine particles. Spatial variability of specific fine particle organic components has not been assessed with consistent methods. The aim of this paper is to assess spatial variation of organic components of fine particles within and between European study areas. Highly standardized measurements of polycyclic aromatic hydrocarbons (PAH), hopanes/steranes, elemental/organic carbon (EC/OC) and levoglucosan were performed measured in ten study areas across Europe. In each study area, measurements were conducted at street, urban and regional background sites. Three two-week samples were taken per site and the annual average levels of pollutants were calculated using continuous measurements at one background site as a reference. Substantial variations within and between the study areas were found. EC/OC and hopanes/steranes concentrations were highest in southern European study areas and lowest in northern locations. PAH concentrations were lowest in London/Oxford and highest in Copenhagen, Rome and Athens. Concentrations at street locations were higher than at background locations in all study areas and for all components. However, these differences varied considerably between study areas and components. EC had the highest median street to urban background ratio (1.62), OC the lowest (1.32). EC was highly correlated with NOx and PM2.5 absorbance in all areas, with median r = 0.85 and r = 0.89, respectively. The correlation between OC and other components was variable, with a median correlation of 0.65 with PM2.5 mass and a weak (0.18) correlation with Σhopanes/steranes. ΣPAH correlated moderately with EC (r = 0.59) and weakly with ∑hopanes/steranes (r = 0.36). In conclusion, substantial variability was found in spatial patterns of atmospheric EC, OC, PAH and hopanes/steranes both within and between European study areas. The application of this highly standardized measurement approach across different locations will contribute to a consistent assessment of air pollutant levels and potentially contribute to understanding health effects associated with them.","container-title":"Atmospheric Environment","DOI":"10.1016/j.atmosenv.2014.01.026","ISSN":"1352-2310","journalAbbreviation":"Atmospheric Environment","page":"239-248","source":"ScienceDirect","title":"Spatial variations of PAH, hopanes/steranes and EC/OC concentrations within and between European study areas","volume":"87","author":[{"family":"Jedynska","given":"Aleksandra"},{"family":"Hoek","given":"Gerard"},{"family":"Eeftens","given":"Marloes"},{"family":"Cyrys","given":"Josef"},{"family":"Keuken","given":"Menno"},{"family":"Ampe","given":"Christophe"},{"family":"Beelen","given":"Rob"},{"family":"Cesaroni","given":"Giulia"},{"family":"Forastiere","given":"Francesco"},{"family":"Cirach","given":"Marta"},{"family":"Hoogh","given":"Kees","non-dropping-particle":"de"},{"family":"De Nazelle","given":"Audrey"},{"family":"Madsen","given":"Christian"},{"family":"Declercq","given":"Christophe"},{"family":"Eriksen","given":"Kirsten T."},{"family":"Katsouyanni","given":"Klea"},{"family":"Akhlaghi","given":"Helgah Makarem"},{"family":"Lanki","given":"Timo"},{"family":"Meliefste","given":"Kees"},{"family":"Nieuwenhuijsen","given":"Mark"},{"family":"Oldenwening","given":"Marieke"},{"family":"Pennanen","given":"Arto"},{"family":"Raaschou-Nielsen","given":"Ole"},{"family":"Brunekreef","given":"Bert"},{"family":"Kooter","given":"Ingeborg M."}],"issued":{"date-parts":[["2014",4,1]]}}}],"schema":"https://github.com/citation-style-language/schema/raw/master/csl-citation.json"}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[42]</w:t>
            </w:r>
            <w:r w:rsidRPr="00C9504C">
              <w:rPr>
                <w:rFonts w:ascii="Arial" w:hAnsi="Arial" w:cs="Arial"/>
                <w:sz w:val="20"/>
                <w:szCs w:val="20"/>
              </w:rPr>
              <w:fldChar w:fldCharType="end"/>
            </w:r>
          </w:p>
        </w:tc>
      </w:tr>
      <w:tr w:rsidR="006751F9" w:rsidRPr="00AE1E24" w14:paraId="24C11774" w14:textId="77777777" w:rsidTr="00420FF2">
        <w:trPr>
          <w:trHeight w:val="300"/>
          <w:jc w:val="center"/>
        </w:trPr>
        <w:tc>
          <w:tcPr>
            <w:tcW w:w="737" w:type="dxa"/>
            <w:shd w:val="clear" w:color="auto" w:fill="auto"/>
            <w:noWrap/>
          </w:tcPr>
          <w:p w14:paraId="62D7DFC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0EB0231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Zhengzhou, China</w:t>
            </w:r>
          </w:p>
        </w:tc>
        <w:tc>
          <w:tcPr>
            <w:tcW w:w="1191" w:type="dxa"/>
            <w:shd w:val="clear" w:color="auto" w:fill="auto"/>
            <w:noWrap/>
          </w:tcPr>
          <w:p w14:paraId="163F0EB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C2512E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2012–Jul. 2015 (90)</w:t>
            </w:r>
          </w:p>
        </w:tc>
        <w:tc>
          <w:tcPr>
            <w:tcW w:w="1134" w:type="dxa"/>
            <w:shd w:val="clear" w:color="auto" w:fill="auto"/>
            <w:noWrap/>
          </w:tcPr>
          <w:p w14:paraId="0553AC4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76059AC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5010975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278AE1F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 PAH</w:t>
            </w:r>
          </w:p>
        </w:tc>
        <w:tc>
          <w:tcPr>
            <w:tcW w:w="1134" w:type="dxa"/>
          </w:tcPr>
          <w:p w14:paraId="160B6FC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 GC-MS</w:t>
            </w:r>
          </w:p>
        </w:tc>
        <w:tc>
          <w:tcPr>
            <w:tcW w:w="1134" w:type="dxa"/>
            <w:shd w:val="clear" w:color="auto" w:fill="auto"/>
            <w:noWrap/>
          </w:tcPr>
          <w:p w14:paraId="4FCC4E8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HCl,</w:t>
            </w:r>
          </w:p>
          <w:p w14:paraId="6BEE83F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w:t>
            </w:r>
          </w:p>
          <w:p w14:paraId="38486CA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DCM</w:t>
            </w:r>
          </w:p>
        </w:tc>
        <w:tc>
          <w:tcPr>
            <w:tcW w:w="1077" w:type="dxa"/>
            <w:shd w:val="clear" w:color="auto" w:fill="auto"/>
            <w:noWrap/>
          </w:tcPr>
          <w:p w14:paraId="4D7DDE4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70C4EA7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80</w:t>
            </w:r>
            <w:r w:rsidRPr="0085132E">
              <w:rPr>
                <w:rFonts w:ascii="Arial" w:hAnsi="Arial" w:cs="Arial"/>
                <w:color w:val="000000" w:themeColor="text1"/>
                <w:sz w:val="20"/>
                <w:szCs w:val="20"/>
                <w:lang w:val="en-US"/>
              </w:rPr>
              <w:t>%</w:t>
            </w:r>
            <w:r w:rsidRPr="00C9504C">
              <w:rPr>
                <w:rFonts w:ascii="Arial" w:hAnsi="Arial" w:cs="Arial"/>
                <w:sz w:val="20"/>
                <w:szCs w:val="20"/>
                <w:lang w:val="en-US"/>
              </w:rPr>
              <w:t>−120% for metals, 79</w:t>
            </w:r>
            <w:r w:rsidRPr="0085132E">
              <w:rPr>
                <w:rFonts w:ascii="Arial" w:hAnsi="Arial" w:cs="Arial"/>
                <w:color w:val="000000" w:themeColor="text1"/>
                <w:sz w:val="20"/>
                <w:szCs w:val="20"/>
                <w:lang w:val="en-US"/>
              </w:rPr>
              <w:t>%</w:t>
            </w:r>
            <w:r w:rsidRPr="00C9504C">
              <w:rPr>
                <w:rFonts w:ascii="Arial" w:hAnsi="Arial" w:cs="Arial"/>
                <w:sz w:val="20"/>
                <w:szCs w:val="20"/>
                <w:lang w:val="en-US"/>
              </w:rPr>
              <w:t>−104% for PAHs</w:t>
            </w:r>
          </w:p>
        </w:tc>
        <w:tc>
          <w:tcPr>
            <w:tcW w:w="907" w:type="dxa"/>
          </w:tcPr>
          <w:p w14:paraId="4D63923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7FEC869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LADD, ILCR, DAD, HQ, HI</w:t>
            </w:r>
          </w:p>
        </w:tc>
        <w:tc>
          <w:tcPr>
            <w:tcW w:w="907" w:type="dxa"/>
          </w:tcPr>
          <w:p w14:paraId="2FF352E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{"citationID":"zga5O1KE","properties":{"formattedCitation":"(43)","plainCitation":"(43)","dontUpdate":true,"noteIndex":0},"citationItems":[{"id":491,"uris":["http://zotero.org/users/12446040/items/VK52M9W8"],"itemData":{"id":491,"type":"article-journal","abstract":"In this study, 102 PM2.5 samples were collected from an urban site in Zhengzhou during winter and summer from 2012 to 2015. The meteorological impact, chemical characteristics, and health risks of the toxic elements and polycyclic aromatic hydrocarbons (PAHs) in PM2.5 were compared between the two seasons. PM2.5 pollution was relatively severe, especially in winter when meteorological conditions exhibited critical influence on PM2.5 concentration. NO3−, SO42−, and NH4+ were the three most abundant species, accounting for 79% and 90% of total measured water-soluble inorganic ions in winter and summer, respectively. OC, EC, and SOC exhibited relatively high concentrations in winter, and SOC contributed &gt;40% in OC in both seasons. The seasonality of PAHs was associated with PM2.5, with high contribution of four-ringed and five- to six-ringed PAHs in winter and summer, respectively. Fe, Al, Zn, Mg, Mn, and Pb were the most abundant elements in PM2.5 in both seasons. The levels of V, Ag, and As in the winter were almost 8.3, 6.2, and 2.7 times higher than those in summer, respectively. The cancer risk values of As, Ni, and Pb were all higher than 10−6 for adults and children in winter and summer. The non-carcinogenic risks of Pb, As, and Sb for children were beyond the safe level, especially from ingestion. PAHs, BaA, BaP, BbF, and DaA showed potential carcinogenic risk. BaA, BaP, and BbF showed higher cancer risk in winter than in summer for adults and children, whereas DaA showed higher cancer risk in summer than in winter. The calculated non-carcinogenic risk of BaP for children in winter was beyond the safe level. BAP caused high health risk for adults through inhalation but through ingestion and dermal contact for children.","container-title":"Atmospheric Research","DOI":"10.1016/j.atmosres.2018.06.008","ISSN":"0169-8095","journalAbbreviation":"Atmospheric Research","page":"173-184","source":"ScienceDirect","title":"Comparative major components and health risks of toxic elements and polycyclic aromatic hydrocarbons of PM2.5 in winter and summer in Zhengzhou: Based on three-year data","title-short":"Comparative major components and health risks of toxic elements and polycyclic aromatic hydrocarbons of PM2.5 in winter and summer in Zhengzhou","volume":"213","author":[{"family":"Jiang","given":"Nan"},{"family":"Duan","given":"Shiguang"},{"family":"Yu","given":"Xue"},{"family":"Zhang","given":"Ruiqin"},{"family":"Wang","given":"Ke"}],"issued":{"date-parts":[["2018",11,15]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[43]</w:t>
            </w:r>
            <w:r w:rsidRPr="00C9504C">
              <w:rPr>
                <w:rFonts w:ascii="Arial" w:hAnsi="Arial" w:cs="Arial"/>
                <w:sz w:val="20"/>
                <w:szCs w:val="20"/>
              </w:rPr>
              <w:fldChar w:fldCharType="end"/>
            </w:r>
          </w:p>
        </w:tc>
      </w:tr>
      <w:tr w:rsidR="006751F9" w:rsidRPr="00AE1E24" w14:paraId="553DE106" w14:textId="77777777" w:rsidTr="00420FF2">
        <w:trPr>
          <w:trHeight w:val="300"/>
          <w:jc w:val="center"/>
        </w:trPr>
        <w:tc>
          <w:tcPr>
            <w:tcW w:w="737" w:type="dxa"/>
            <w:shd w:val="clear" w:color="auto" w:fill="auto"/>
            <w:noWrap/>
          </w:tcPr>
          <w:p w14:paraId="1EAD905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0386185F"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Belluno</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Conegliano</w:t>
            </w:r>
            <w:proofErr w:type="spellEnd"/>
            <w:r w:rsidRPr="00C9504C">
              <w:rPr>
                <w:rFonts w:ascii="Arial" w:hAnsi="Arial" w:cs="Arial"/>
                <w:sz w:val="20"/>
                <w:szCs w:val="20"/>
                <w:lang w:val="en-US"/>
              </w:rPr>
              <w:t xml:space="preserve">, </w:t>
            </w:r>
            <w:r w:rsidRPr="00C9504C">
              <w:rPr>
                <w:rFonts w:ascii="Arial" w:hAnsi="Arial" w:cs="Arial"/>
                <w:sz w:val="20"/>
                <w:szCs w:val="20"/>
                <w:lang w:val="en-US"/>
              </w:rPr>
              <w:lastRenderedPageBreak/>
              <w:t xml:space="preserve">Vicenza, </w:t>
            </w:r>
            <w:proofErr w:type="spellStart"/>
            <w:r w:rsidRPr="00C9504C">
              <w:rPr>
                <w:rFonts w:ascii="Arial" w:hAnsi="Arial" w:cs="Arial"/>
                <w:sz w:val="20"/>
                <w:szCs w:val="20"/>
                <w:lang w:val="en-US"/>
              </w:rPr>
              <w:t>Venezia</w:t>
            </w:r>
            <w:proofErr w:type="spellEnd"/>
            <w:r w:rsidRPr="00C9504C">
              <w:rPr>
                <w:rFonts w:ascii="Arial" w:hAnsi="Arial" w:cs="Arial"/>
                <w:sz w:val="20"/>
                <w:szCs w:val="20"/>
                <w:lang w:val="en-US"/>
              </w:rPr>
              <w:t xml:space="preserve"> Mestre, Padua, Rovigo, Italy</w:t>
            </w:r>
          </w:p>
        </w:tc>
        <w:tc>
          <w:tcPr>
            <w:tcW w:w="1191" w:type="dxa"/>
            <w:shd w:val="clear" w:color="auto" w:fill="auto"/>
            <w:noWrap/>
          </w:tcPr>
          <w:p w14:paraId="4A6196A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lastRenderedPageBreak/>
              <w:t>nr</w:t>
            </w:r>
          </w:p>
        </w:tc>
        <w:tc>
          <w:tcPr>
            <w:tcW w:w="1134" w:type="dxa"/>
            <w:shd w:val="clear" w:color="auto" w:fill="auto"/>
            <w:noWrap/>
          </w:tcPr>
          <w:p w14:paraId="1CDE647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Apr. 2012–</w:t>
            </w:r>
            <w:r w:rsidRPr="00C9504C">
              <w:rPr>
                <w:rFonts w:ascii="Arial" w:hAnsi="Arial" w:cs="Arial"/>
                <w:sz w:val="20"/>
                <w:szCs w:val="20"/>
                <w:lang w:val="en-US"/>
              </w:rPr>
              <w:lastRenderedPageBreak/>
              <w:t>Mar. 2013 (360)</w:t>
            </w:r>
          </w:p>
        </w:tc>
        <w:tc>
          <w:tcPr>
            <w:tcW w:w="1134" w:type="dxa"/>
            <w:shd w:val="clear" w:color="auto" w:fill="auto"/>
            <w:noWrap/>
          </w:tcPr>
          <w:p w14:paraId="1AC0AEC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LVS</w:t>
            </w:r>
          </w:p>
        </w:tc>
        <w:tc>
          <w:tcPr>
            <w:tcW w:w="737" w:type="dxa"/>
            <w:shd w:val="clear" w:color="auto" w:fill="auto"/>
            <w:noWrap/>
          </w:tcPr>
          <w:p w14:paraId="6CFDCC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w:t>
            </w:r>
            <w:r w:rsidRPr="00C9504C">
              <w:rPr>
                <w:rFonts w:ascii="Arial" w:hAnsi="Arial" w:cs="Arial"/>
                <w:sz w:val="20"/>
                <w:szCs w:val="20"/>
                <w:lang w:val="en-US"/>
              </w:rPr>
              <w:lastRenderedPageBreak/>
              <w:t>h</w:t>
            </w:r>
            <w:r w:rsidRPr="00C9504C">
              <w:rPr>
                <w:rFonts w:ascii="Arial" w:hAnsi="Arial" w:cs="Arial"/>
                <w:sz w:val="20"/>
                <w:szCs w:val="20"/>
                <w:vertAlign w:val="superscript"/>
                <w:lang w:val="en-US"/>
              </w:rPr>
              <w:t>−1</w:t>
            </w:r>
          </w:p>
        </w:tc>
        <w:tc>
          <w:tcPr>
            <w:tcW w:w="794" w:type="dxa"/>
            <w:shd w:val="clear" w:color="auto" w:fill="auto"/>
            <w:noWrap/>
          </w:tcPr>
          <w:p w14:paraId="5FA2E90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QFF</w:t>
            </w:r>
          </w:p>
        </w:tc>
        <w:tc>
          <w:tcPr>
            <w:tcW w:w="1191" w:type="dxa"/>
            <w:shd w:val="clear" w:color="auto" w:fill="auto"/>
            <w:noWrap/>
          </w:tcPr>
          <w:p w14:paraId="07D1E6D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1A919C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HPLC</w:t>
            </w:r>
          </w:p>
        </w:tc>
        <w:tc>
          <w:tcPr>
            <w:tcW w:w="1134" w:type="dxa"/>
            <w:shd w:val="clear" w:color="auto" w:fill="auto"/>
            <w:noWrap/>
          </w:tcPr>
          <w:p w14:paraId="5F24FEE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UAE with </w:t>
            </w:r>
            <w:proofErr w:type="spellStart"/>
            <w:r w:rsidRPr="00C9504C">
              <w:rPr>
                <w:rFonts w:ascii="Arial" w:hAnsi="Arial" w:cs="Arial"/>
                <w:sz w:val="20"/>
                <w:szCs w:val="20"/>
                <w:lang w:val="en-US"/>
              </w:rPr>
              <w:t>MeCN</w:t>
            </w:r>
            <w:proofErr w:type="spellEnd"/>
            <w:r w:rsidRPr="00C9504C">
              <w:rPr>
                <w:rFonts w:ascii="Arial" w:hAnsi="Arial" w:cs="Arial"/>
                <w:sz w:val="20"/>
                <w:szCs w:val="20"/>
                <w:lang w:val="en-US"/>
              </w:rPr>
              <w:t xml:space="preserve"> </w:t>
            </w:r>
          </w:p>
        </w:tc>
        <w:tc>
          <w:tcPr>
            <w:tcW w:w="1077" w:type="dxa"/>
            <w:shd w:val="clear" w:color="auto" w:fill="auto"/>
            <w:noWrap/>
          </w:tcPr>
          <w:p w14:paraId="2954873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2AD5116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72</w:t>
            </w:r>
            <w:r w:rsidRPr="0085132E">
              <w:rPr>
                <w:rFonts w:ascii="Arial" w:hAnsi="Arial" w:cs="Arial"/>
                <w:color w:val="000000" w:themeColor="text1"/>
                <w:sz w:val="20"/>
                <w:szCs w:val="20"/>
                <w:lang w:val="en-US"/>
              </w:rPr>
              <w:t>%</w:t>
            </w:r>
            <w:r w:rsidRPr="00C9504C">
              <w:rPr>
                <w:rFonts w:ascii="Arial" w:hAnsi="Arial" w:cs="Arial"/>
                <w:sz w:val="20"/>
                <w:szCs w:val="20"/>
                <w:lang w:val="en-US"/>
              </w:rPr>
              <w:t>−125</w:t>
            </w:r>
            <w:r w:rsidRPr="00C9504C">
              <w:rPr>
                <w:rFonts w:ascii="Arial" w:hAnsi="Arial" w:cs="Arial"/>
                <w:sz w:val="20"/>
                <w:szCs w:val="20"/>
                <w:lang w:val="en-US"/>
              </w:rPr>
              <w:lastRenderedPageBreak/>
              <w:t>%</w:t>
            </w:r>
          </w:p>
        </w:tc>
        <w:tc>
          <w:tcPr>
            <w:tcW w:w="907" w:type="dxa"/>
          </w:tcPr>
          <w:p w14:paraId="4B09083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 xml:space="preserve">ERM-CZ100 </w:t>
            </w:r>
            <w:r w:rsidRPr="00C9504C">
              <w:rPr>
                <w:rFonts w:ascii="Arial" w:hAnsi="Arial" w:cs="Arial"/>
                <w:sz w:val="20"/>
                <w:szCs w:val="20"/>
                <w:lang w:val="en-US"/>
              </w:rPr>
              <w:lastRenderedPageBreak/>
              <w:t>PAHs</w:t>
            </w:r>
          </w:p>
        </w:tc>
        <w:tc>
          <w:tcPr>
            <w:tcW w:w="1247" w:type="dxa"/>
          </w:tcPr>
          <w:p w14:paraId="348BF1A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 xml:space="preserve">CPF, DR,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xml:space="preserve">, </w:t>
            </w:r>
            <w:r w:rsidRPr="00C9504C">
              <w:rPr>
                <w:rFonts w:ascii="Arial" w:hAnsi="Arial" w:cs="Arial"/>
                <w:sz w:val="20"/>
                <w:szCs w:val="20"/>
                <w:lang w:val="en-US"/>
              </w:rPr>
              <w:lastRenderedPageBreak/>
              <w:t>ILCR</w:t>
            </w:r>
          </w:p>
        </w:tc>
        <w:tc>
          <w:tcPr>
            <w:tcW w:w="907" w:type="dxa"/>
          </w:tcPr>
          <w:p w14:paraId="77C17F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fldChar w:fldCharType="begin"/>
            </w:r>
            <w:r>
              <w:rPr>
                <w:rFonts w:ascii="Arial" w:hAnsi="Arial" w:cs="Arial"/>
                <w:sz w:val="20"/>
                <w:szCs w:val="20"/>
                <w:lang w:val="en-US"/>
              </w:rPr>
              <w:instrText xml:space="preserve"> ADDIN ZOTERO_ITEM CSL_CITATION {"citationID":"66qGE1iH","properties":{"formattedCitation":"(44)","plainCitation":"(44)","dontUpdate":true,"noteIndex":0},"citationItems":[{"id":"HbwwkMxO/EUXDMgdo","uris":["http://zotero.org/users/12446040/items/Z3CX6CEW"],"itemData":{"id":608,"type":"article-journal","abstract":"A yearlong sampling campaign (2012–2013) was conducted in six major cities of the Veneto region to investigate the spatial-temporal trends and the factors affecting the polycyclic aromatic hydrocarbon (PAHs) variations and identify the local sources. Sixty samples per city were collected for analyses in every alternate month (April, June, August, October, December, and February): 10 samples per sampling site in 10 consecutive days of the months selected. Samples were ultrasonically extracted with acetonitrile and processed through high-performance liquid chromatography. Total Σ-PAH concentrations ranged from 0.19 to 70.4 ng m−3 with a mean concentration of 11.5 ng m−3. The mean benzo[a]pyrene (BaP) concentration reached 2.0 ng m−3, which is two-times higher than the limit set by the European Union. BaP contributed for 17.4% to the total concentration of PAHs, which showed the same pattern across the region with maxima during cold months and minima in the warm period. In this study, PAHs showed an inverse relationship with temperature, solar radiation, wind speed, and ozone. According to this study, biomass burning for household heating and cooking, followed by gaseous PAHs absorption on particles due to low atmospheric temperature, were the main reasons for increasing PAHs concentration in winter. Health risk, evaluated as lifetime lung cancer risk (LCR), showed a potential carcinogenic risk from the airborne BaPTEQ six-fold higher in the cold season than in the warm one. Diagnostic ratios and conditional probability functions were used to locate the sources, and results confirmed that local emission, overall domestic heating, and road transport exhausts were responsible for higher concentration rates of PAHs as well as of PM2.5.","container-title":"Environmental Science and Pollution Research","DOI":"10.1007/s11356-018-2841-1","ISSN":"1614-7499","issue":"32","journalAbbreviation":"Environ Sci Pollut Res","language":"en","page":"31987-32000","source":"Springer Link","title":"Potential sources and meteorological factors affecting PM2.5-bound polycyclic aromatic hydrocarbon levels in six main cities of northeastern Italy: an assessment of the related carcinogenic and mutagenic risks","title-short":"Potential sources and meteorological factors affecting PM2.5-bound polycyclic aromatic hydrocarbon levels in six main cities of northeastern Italy","volume":"25","author":[{"family":"Khan","given":"Md. Badiuzzaman"},{"family":"Masiol","given":"Mauro"},{"family":"Bruno","given":"Caterina"},{"family":"Pasqualetto","given":"Alberto"},{"family":"Formenton","given":"Gian Maria"},{"family":"Agostinelli","given":"Claudio"},{"family":"Pavoni","given":"Bruno"}],"issued":{"date-parts":[["2018",11,1]]}}}],"schema":"https://github.com/citation-style-language/schema/raw/master/csl-citation.json"}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[44</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0FC05192" w14:textId="77777777" w:rsidTr="00420FF2">
        <w:trPr>
          <w:trHeight w:val="300"/>
          <w:jc w:val="center"/>
        </w:trPr>
        <w:tc>
          <w:tcPr>
            <w:tcW w:w="737" w:type="dxa"/>
            <w:shd w:val="clear" w:color="auto" w:fill="auto"/>
            <w:noWrap/>
          </w:tcPr>
          <w:p w14:paraId="41EE8F9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2.5</w:t>
            </w:r>
          </w:p>
        </w:tc>
        <w:tc>
          <w:tcPr>
            <w:tcW w:w="1417" w:type="dxa"/>
            <w:shd w:val="clear" w:color="auto" w:fill="auto"/>
            <w:noWrap/>
          </w:tcPr>
          <w:p w14:paraId="7807DA6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Ankara, Turkey</w:t>
            </w:r>
          </w:p>
        </w:tc>
        <w:tc>
          <w:tcPr>
            <w:tcW w:w="1191" w:type="dxa"/>
            <w:shd w:val="clear" w:color="auto" w:fill="auto"/>
            <w:noWrap/>
          </w:tcPr>
          <w:p w14:paraId="6052FBA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6A8E470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Jul. 2014–Sep. 2015 (611)</w:t>
            </w:r>
          </w:p>
        </w:tc>
        <w:tc>
          <w:tcPr>
            <w:tcW w:w="1134" w:type="dxa"/>
            <w:shd w:val="clear" w:color="auto" w:fill="auto"/>
            <w:noWrap/>
          </w:tcPr>
          <w:p w14:paraId="6F48E62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AB299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1.01−1.18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10B0C4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86835F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00EBE73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75127E6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w:t>
            </w:r>
          </w:p>
        </w:tc>
        <w:tc>
          <w:tcPr>
            <w:tcW w:w="1077" w:type="dxa"/>
            <w:shd w:val="clear" w:color="auto" w:fill="auto"/>
            <w:noWrap/>
          </w:tcPr>
          <w:p w14:paraId="61870EB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154BEF1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1649b</w:t>
            </w:r>
          </w:p>
        </w:tc>
        <w:tc>
          <w:tcPr>
            <w:tcW w:w="1247" w:type="dxa"/>
          </w:tcPr>
          <w:p w14:paraId="1D1F840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DR, CPF</w:t>
            </w:r>
          </w:p>
        </w:tc>
        <w:tc>
          <w:tcPr>
            <w:tcW w:w="907" w:type="dxa"/>
          </w:tcPr>
          <w:p w14:paraId="5D187E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{"citationID":"HJn7RfPB","properties":{"formattedCitation":"(45)","plainCitation":"(45)","dontUpdate":true,"noteIndex":0},"citationItems":[{"id":1449,"uris":["http://zotero.org/users/12446040/items/DCXZN33Z"],"itemData":{"id":1449,"type":"article-journal","abstract":"Several adverse health impacts have been attributed to particulate matter-PM2.5, defined as having a diameter of less than 2.5 µm. The World Health Organization has determined that 5 µg m−3 is the 24-h limit threshold. PM2.5 comes from various primary sources and is also created by secondary atmospheric processes. Finding responsible sources can help regulate by focusing on the biological processes that underlie the observed health impacts. Determining the chemical composition of PM2.5 is the first phase in allocating PM2.5 to various sources. This study outlines the procedure for organic speciation of PM2.5—solvent-extractable polycyclic aromatic hydrocarbons (PAHs), n-alkanes, n-alkanoic acids, and levoglucosan. Daily PM2.5 aerosol samples were collected between July 2014 and September 2015 in Ankara, Turkey. Seasonal average concentrations of measured species ranged from 13.51 to 65.04 ng m−3 for PAHs, 36 to 150 ng m−3 for n-alkanes, 24 to 47 ng m−3 for n-alkanoic acids, 0.44 to 3.6 ng m−3 for levoglucosan. n-Alkanes are the most abundant group at both urban and suburban sites. Concentrations of all groups were higher during winter, which is associated with emissions from space heating and lower mixing height in winter months. The diagnostic ratios between specific atmospheric concentrations of tracers depicted that the particulate organic compounds are mainly from anthropogenic sources like vehicular emission, biogenic combustion, and food cooking.","container-title":"Air Quality, Atmosphere &amp; Health","DOI":"10.1007/s11869-025-01716-5","ISSN":"1873-9326","issue":"5","journalAbbreviation":"Air Qual Atmos Health","language":"en","page":"1359-1376","source":"Springer Link","title":"Multi-group organic pollutants in urban and suburban atmospheric particulate matter (PM2.5): Temporal variation, meteorological impact, and sources","title-short":"Multi-group organic pollutants in urban and suburban atmospheric particulate matter (PM2.5)","volume":"18","author":[{"family":"Koçak","given":"Ebru"},{"family":"Aslan","given":"Seda"},{"family":"İmamoğlu","given":"İpek"},{"family":"Tuncel","given":"Gürdal"}],"issued":{"date-parts":[["2025",5,1]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[45]</w:t>
            </w:r>
            <w:r w:rsidRPr="00C9504C">
              <w:rPr>
                <w:rFonts w:ascii="Arial" w:hAnsi="Arial" w:cs="Arial"/>
                <w:sz w:val="20"/>
                <w:szCs w:val="20"/>
                <w:lang w:val="en-US"/>
              </w:rPr>
              <w:fldChar w:fldCharType="end"/>
            </w:r>
          </w:p>
        </w:tc>
      </w:tr>
      <w:tr w:rsidR="006751F9" w:rsidRPr="00AE1E24" w14:paraId="7C2657A6" w14:textId="77777777" w:rsidTr="00420FF2">
        <w:trPr>
          <w:trHeight w:val="300"/>
          <w:jc w:val="center"/>
        </w:trPr>
        <w:tc>
          <w:tcPr>
            <w:tcW w:w="737" w:type="dxa"/>
            <w:shd w:val="clear" w:color="auto" w:fill="auto"/>
            <w:noWrap/>
          </w:tcPr>
          <w:p w14:paraId="600613A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642C975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Volos, Greece</w:t>
            </w:r>
          </w:p>
        </w:tc>
        <w:tc>
          <w:tcPr>
            <w:tcW w:w="1191" w:type="dxa"/>
            <w:shd w:val="clear" w:color="auto" w:fill="auto"/>
            <w:noWrap/>
          </w:tcPr>
          <w:p w14:paraId="1DB64B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756A343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2014–Dec. 2015 (240)</w:t>
            </w:r>
          </w:p>
        </w:tc>
        <w:tc>
          <w:tcPr>
            <w:tcW w:w="1134" w:type="dxa"/>
            <w:shd w:val="clear" w:color="auto" w:fill="auto"/>
            <w:noWrap/>
          </w:tcPr>
          <w:p w14:paraId="06633EC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286B8BA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40D8F36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5DFDEA8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Metals,</w:t>
            </w:r>
          </w:p>
          <w:p w14:paraId="711AA3B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PAHs</w:t>
            </w:r>
          </w:p>
        </w:tc>
        <w:tc>
          <w:tcPr>
            <w:tcW w:w="1134" w:type="dxa"/>
          </w:tcPr>
          <w:p w14:paraId="2607948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 HPLC-FLD</w:t>
            </w:r>
          </w:p>
        </w:tc>
        <w:tc>
          <w:tcPr>
            <w:tcW w:w="1134" w:type="dxa"/>
            <w:shd w:val="clear" w:color="auto" w:fill="auto"/>
            <w:noWrap/>
          </w:tcPr>
          <w:p w14:paraId="0BDA9C7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w:t>
            </w:r>
            <w:r w:rsidRPr="00C9504C">
              <w:rPr>
                <w:rFonts w:ascii="Arial" w:hAnsi="Arial" w:cs="Arial"/>
                <w:sz w:val="20"/>
                <w:szCs w:val="20"/>
                <w:vertAlign w:val="subscript"/>
                <w:lang w:val="en-US"/>
              </w:rPr>
              <w:t>2</w:t>
            </w:r>
            <w:r w:rsidRPr="00C9504C">
              <w:rPr>
                <w:rFonts w:ascii="Arial" w:hAnsi="Arial" w:cs="Arial"/>
                <w:sz w:val="20"/>
                <w:szCs w:val="20"/>
                <w:lang w:val="en-US"/>
              </w:rPr>
              <w:t>O</w:t>
            </w:r>
            <w:r w:rsidRPr="00C9504C">
              <w:rPr>
                <w:rFonts w:ascii="Arial" w:hAnsi="Arial" w:cs="Arial"/>
                <w:sz w:val="20"/>
                <w:szCs w:val="20"/>
                <w:vertAlign w:val="subscript"/>
                <w:lang w:val="en-US"/>
              </w:rPr>
              <w:t>2</w:t>
            </w:r>
            <w:r w:rsidRPr="00C9504C">
              <w:rPr>
                <w:rFonts w:ascii="Arial" w:hAnsi="Arial" w:cs="Arial"/>
                <w:sz w:val="20"/>
                <w:szCs w:val="20"/>
                <w:lang w:val="en-US"/>
              </w:rPr>
              <w:t>;</w:t>
            </w:r>
          </w:p>
          <w:p w14:paraId="5CB0963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UAE with </w:t>
            </w:r>
            <w:proofErr w:type="spellStart"/>
            <w:r w:rsidRPr="00C9504C">
              <w:rPr>
                <w:rFonts w:ascii="Arial" w:hAnsi="Arial" w:cs="Arial"/>
                <w:sz w:val="20"/>
                <w:szCs w:val="20"/>
                <w:lang w:val="en-US"/>
              </w:rPr>
              <w:t>MeCN</w:t>
            </w:r>
            <w:proofErr w:type="spellEnd"/>
          </w:p>
        </w:tc>
        <w:tc>
          <w:tcPr>
            <w:tcW w:w="1077" w:type="dxa"/>
            <w:shd w:val="clear" w:color="auto" w:fill="auto"/>
            <w:noWrap/>
          </w:tcPr>
          <w:p w14:paraId="7D8046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3D2EB93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95</w:t>
            </w:r>
            <w:r w:rsidRPr="0085132E">
              <w:rPr>
                <w:rFonts w:ascii="Arial" w:hAnsi="Arial" w:cs="Arial"/>
                <w:color w:val="000000" w:themeColor="text1"/>
                <w:sz w:val="20"/>
                <w:szCs w:val="20"/>
                <w:lang w:val="en-US"/>
              </w:rPr>
              <w:t>%</w:t>
            </w:r>
            <w:r w:rsidRPr="00C9504C">
              <w:rPr>
                <w:rFonts w:ascii="Arial" w:hAnsi="Arial" w:cs="Arial"/>
                <w:sz w:val="20"/>
                <w:szCs w:val="20"/>
                <w:lang w:val="en-US"/>
              </w:rPr>
              <w:t>−111% for metals, 73</w:t>
            </w:r>
            <w:r w:rsidRPr="0085132E">
              <w:rPr>
                <w:rFonts w:ascii="Arial" w:hAnsi="Arial" w:cs="Arial"/>
                <w:color w:val="000000" w:themeColor="text1"/>
                <w:sz w:val="20"/>
                <w:szCs w:val="20"/>
                <w:lang w:val="en-US"/>
              </w:rPr>
              <w:t>%</w:t>
            </w:r>
            <w:r w:rsidRPr="00C9504C">
              <w:rPr>
                <w:rFonts w:ascii="Arial" w:hAnsi="Arial" w:cs="Arial"/>
                <w:sz w:val="20"/>
                <w:szCs w:val="20"/>
                <w:lang w:val="en-US"/>
              </w:rPr>
              <w:t>−125% for PAHs</w:t>
            </w:r>
          </w:p>
        </w:tc>
        <w:tc>
          <w:tcPr>
            <w:tcW w:w="907" w:type="dxa"/>
          </w:tcPr>
          <w:p w14:paraId="44850E6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1648a</w:t>
            </w:r>
          </w:p>
        </w:tc>
        <w:tc>
          <w:tcPr>
            <w:tcW w:w="1247" w:type="dxa"/>
          </w:tcPr>
          <w:p w14:paraId="3F8797C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ILCR, LADD,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HQ, PCA</w:t>
            </w:r>
          </w:p>
        </w:tc>
        <w:tc>
          <w:tcPr>
            <w:tcW w:w="907" w:type="dxa"/>
          </w:tcPr>
          <w:p w14:paraId="4FD6BD3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{"citationID":"52toNb5s","properties":{"formattedCitation":"(46)","plainCitation":"(46)","dontUpdate":true,"noteIndex":0},"citationItems":[{"id":1445,"uris":["http://zotero.org/users/12446040/items/AUZRVAS6"],"itemData":{"id":1445,"type":"article-journal","abstract":"Port cities are often burdened by elevated air pollution levels due to ship emissions and harbour-related activities such as cargo handling and internal traffic. This study investigates the concentrations of Polycyclic Aromatic Hydrocarbons (PAHs) and selected metals/metalloids (Pb, As, Cd, Ni, V, Co, Cu, Cr, Zn, Mn, Fe) bound to the inhalable particulate matter (PM10) in the port of Volos (central Greece), the fourth largest in the country. Data were collected over a five-year period (2018–2022), allowing for the assessment of interannual variability. A risk assessment was conducted using standard U.S. EPA methodologies to estimate both carcinogenic and non-carcinogenic risks through inhalation exposure, separately for adults and children. The results revealed that the cumulative non-cancer risk from EU-regulated PM10-bound metal(loid)s (As, Ni, Cd, Pb) remained well below the threshold of 1 × 10−6, indicating acceptable exposure levels. However, benzo[a]pyrene (B[a]P) contributed significantly to the non-cancer risk—30 % for children and 20 % for adults. The inhalation lifetime cancer risk (ILCR) for the metal(loid)s exceeded the U.S. EPA's safety threshold (1 × 10−6), reaching 5.1 × 10−5 for children and 5.7 × 10−5 for adults, with lead (Pb) being the predominant contributor. In contrast, the ILCR of Σ12PAHs was nearly two orders of magnitude lower. These findings emphasize the necessity of long-term pollutant monitoring in port areas to inform evidence-based public health interventions and regulatory action.","container-title":"Atmospheric Environment","DOI":"10.1016/j.atmosenv.2025.121348","ISSN":"1352-2310","journalAbbreviation":"Atmospheric Environment","page":"121348","source":"ScienceDirect","title":"Inhalation health risk assessment in the port of Volos, Greece, based on multiannual evolution of PM10-bound polycyclic aromatic hydrocarbons and metals/metalloids: Implications for EU-regulated PM10 pollutants","title-short":"Inhalation health risk assessment in the port of Volos, Greece, based on multiannual evolution of PM10-bound polycyclic aromatic hydrocarbons and metals/metalloids","volume":"358","author":[{"family":"Kouras","given":"A."},{"family":"Manoli","given":"E."},{"family":"Avgenikou","given":"Α."},{"family":"Paraschaki","given":"A."},{"family":"Voutsa","given":"D."},{"family":"Samara","given":"C."},{"family":"Foska","given":"E."}],"issued":{"date-parts":[["2025",10,1]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[46]</w:t>
            </w:r>
            <w:r w:rsidRPr="00C9504C">
              <w:rPr>
                <w:rFonts w:ascii="Arial" w:hAnsi="Arial" w:cs="Arial"/>
                <w:sz w:val="20"/>
                <w:szCs w:val="20"/>
              </w:rPr>
              <w:fldChar w:fldCharType="end"/>
            </w:r>
          </w:p>
        </w:tc>
      </w:tr>
      <w:tr w:rsidR="006751F9" w:rsidRPr="00AE1E24" w14:paraId="5190435C" w14:textId="77777777" w:rsidTr="00420FF2">
        <w:trPr>
          <w:trHeight w:val="300"/>
          <w:jc w:val="center"/>
        </w:trPr>
        <w:tc>
          <w:tcPr>
            <w:tcW w:w="737" w:type="dxa"/>
            <w:shd w:val="clear" w:color="auto" w:fill="auto"/>
            <w:noWrap/>
          </w:tcPr>
          <w:p w14:paraId="65FD65A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4530A1B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Ciudad Real, Spain</w:t>
            </w:r>
          </w:p>
        </w:tc>
        <w:tc>
          <w:tcPr>
            <w:tcW w:w="1191" w:type="dxa"/>
            <w:shd w:val="clear" w:color="auto" w:fill="auto"/>
            <w:noWrap/>
          </w:tcPr>
          <w:p w14:paraId="75B997B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6BFF23D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Nov. 2017–Oct. 2018 (42)</w:t>
            </w:r>
          </w:p>
        </w:tc>
        <w:tc>
          <w:tcPr>
            <w:tcW w:w="1134" w:type="dxa"/>
            <w:shd w:val="clear" w:color="auto" w:fill="auto"/>
            <w:noWrap/>
          </w:tcPr>
          <w:p w14:paraId="360E1A5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6162AF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68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2B7C178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w:t>
            </w:r>
          </w:p>
        </w:tc>
        <w:tc>
          <w:tcPr>
            <w:tcW w:w="1191" w:type="dxa"/>
            <w:shd w:val="clear" w:color="auto" w:fill="auto"/>
            <w:noWrap/>
          </w:tcPr>
          <w:p w14:paraId="529EA9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2BE3D8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GC-MS/MS</w:t>
            </w:r>
          </w:p>
        </w:tc>
        <w:tc>
          <w:tcPr>
            <w:tcW w:w="1134" w:type="dxa"/>
            <w:shd w:val="clear" w:color="auto" w:fill="auto"/>
            <w:noWrap/>
          </w:tcPr>
          <w:p w14:paraId="5EFD986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MAD with DCM </w:t>
            </w:r>
          </w:p>
        </w:tc>
        <w:tc>
          <w:tcPr>
            <w:tcW w:w="1077" w:type="dxa"/>
            <w:shd w:val="clear" w:color="auto" w:fill="auto"/>
            <w:noWrap/>
          </w:tcPr>
          <w:p w14:paraId="41CCA2E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6292389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52</w:t>
            </w:r>
            <w:r w:rsidRPr="0085132E">
              <w:rPr>
                <w:rFonts w:ascii="Arial" w:hAnsi="Arial" w:cs="Arial"/>
                <w:color w:val="000000" w:themeColor="text1"/>
                <w:sz w:val="20"/>
                <w:szCs w:val="20"/>
                <w:lang w:val="en-US"/>
              </w:rPr>
              <w:t>%</w:t>
            </w:r>
            <w:r w:rsidRPr="00C9504C">
              <w:rPr>
                <w:rFonts w:ascii="Arial" w:hAnsi="Arial" w:cs="Arial"/>
                <w:sz w:val="20"/>
                <w:szCs w:val="20"/>
                <w:lang w:val="en-US"/>
              </w:rPr>
              <w:t xml:space="preserve">−134% </w:t>
            </w:r>
          </w:p>
          <w:p w14:paraId="1E917C9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Prec.:</w:t>
            </w:r>
          </w:p>
          <w:p w14:paraId="4E65FCE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&lt;30%</w:t>
            </w:r>
          </w:p>
          <w:p w14:paraId="39A5204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w:t>
            </w:r>
            <w:r w:rsidRPr="00C9504C">
              <w:rPr>
                <w:rFonts w:ascii="Arial" w:hAnsi="Arial" w:cs="Arial"/>
                <w:sz w:val="20"/>
                <w:szCs w:val="20"/>
                <w:vertAlign w:val="superscript"/>
                <w:lang w:val="en-US"/>
              </w:rPr>
              <w:t>2</w:t>
            </w:r>
            <w:r w:rsidRPr="00C9504C">
              <w:rPr>
                <w:rFonts w:ascii="Arial" w:hAnsi="Arial" w:cs="Arial"/>
                <w:sz w:val="20"/>
                <w:szCs w:val="20"/>
                <w:lang w:val="en-US"/>
              </w:rPr>
              <w:t>:</w:t>
            </w:r>
          </w:p>
          <w:p w14:paraId="0ED3701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&gt;0.99</w:t>
            </w:r>
          </w:p>
        </w:tc>
        <w:tc>
          <w:tcPr>
            <w:tcW w:w="907" w:type="dxa"/>
          </w:tcPr>
          <w:p w14:paraId="60804D0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1649b</w:t>
            </w:r>
          </w:p>
        </w:tc>
        <w:tc>
          <w:tcPr>
            <w:tcW w:w="1247" w:type="dxa"/>
          </w:tcPr>
          <w:p w14:paraId="3518704B"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 DR</w:t>
            </w:r>
          </w:p>
        </w:tc>
        <w:tc>
          <w:tcPr>
            <w:tcW w:w="907" w:type="dxa"/>
          </w:tcPr>
          <w:p w14:paraId="0598CA2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{"citationID":"lT1J4VKW","properties":{"formattedCitation":"(47)","plainCitation":"(47)","dontUpdate":true,"noteIndex":0},"citationItems":[{"id":1047,"uris":["http://zotero.org/users/12446040/items/RR6K9KJR"],"itemData":{"id":1047,"type":"article-journal","abstract":"Polycyclic aromatic compounds (PACs) in particulate matter contribute considerably to the health risk of air pollution. As such, we have optimized a method to determine the levels of polycyclic aromatic hydrocarbons, especially nitrated and oxygenated polycyclic aromatic hydrocarbons, in samples of PM10 particulate matter using microwave-assisted extraction (MAE) and gas chromatography coupled to a triple quadrupole mass spectrometer (GC-MS/MS). The proposed method was applied to the analysis of real samples collected in the urban area of Ciudad Real (Spain) during one year. The median total concentrations of eighteen PAHs (∑PAHs) and seven OPAHs (∑OPAHs) were 0.54 and 0.23 ng m−3, respectively, with the corresponding value for NPAH (∑NPAHs) being 0.03 ng m−3 (only detected in 40% of samples). A clear seasonal trend was observed, with higher levels in the cold season and lower in the warm season for ∑PAHs. The same effect was observed for ∑OPAHs, which exhibited a median concentration of 0.72 ng m−3 in the cold season and 0.10 ng m−3 in the warm season, and for ∑NPAH, which exhibited a median of 0.04 ng m−3 in the cold season but were not detected in the warm season. Molecular diagnostic ratios and PCA (principal component analysis) showed a predominantly traffic origin for PACs. The sources of PAHs also depend on meteorological conditions and/or atmospheric reactions, as confirmed by means of statistical analysis. The ∑OPAH/∑PAH and ∑NPAH/∑PAH ratios were higher in the cold season than the warm season, thus suggesting that PAH derivatives originated from primary combustion emission sources together with their parent PAHs. The concentration range found for benzo(a)pyrene was 0.006–0.542 ng m−3, which is below the threshold value of 1 ng m−3 established in European legislation as the annual average value. The lifetime lung risk from inhalation of PM10-bound PACs was estimated to be six cancer cases per million people using the World Health Organization method.","container-title":"Chemosphere","DOI":"10.1016/j.chemosphere.2022.133745","ISSN":"0045-6535","journalAbbreviation":"Chemosphere","page":"133745","source":"ScienceDirect","title":"Investigation of PAHs, nitrated PAHs and oxygenated PAHs in PM10 urban aerosols. A comprehensive data analysis","volume":"294","author":[{"family":"Lara","given":"Sonia"},{"family":"Villanueva","given":"Florentina"},{"family":"Martín","given":"Pilar"},{"family":"Salgado","given":"Sagrario"},{"family":"Moreno","given":"Andres"},{"family":"Sánchez-Verdú","given":"Prado"}],"issued":{"date-parts":[["2022",5,1]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[47]</w:t>
            </w:r>
            <w:r w:rsidRPr="00C9504C">
              <w:rPr>
                <w:rFonts w:ascii="Arial" w:hAnsi="Arial" w:cs="Arial"/>
                <w:sz w:val="20"/>
                <w:szCs w:val="20"/>
              </w:rPr>
              <w:fldChar w:fldCharType="end"/>
            </w:r>
          </w:p>
        </w:tc>
      </w:tr>
      <w:tr w:rsidR="006751F9" w:rsidRPr="00AE1E24" w14:paraId="14FA21A1" w14:textId="77777777" w:rsidTr="00420FF2">
        <w:trPr>
          <w:trHeight w:val="300"/>
          <w:jc w:val="center"/>
        </w:trPr>
        <w:tc>
          <w:tcPr>
            <w:tcW w:w="737" w:type="dxa"/>
            <w:shd w:val="clear" w:color="auto" w:fill="auto"/>
            <w:noWrap/>
          </w:tcPr>
          <w:p w14:paraId="267510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r w:rsidRPr="00C9504C">
              <w:rPr>
                <w:rFonts w:ascii="Arial" w:hAnsi="Arial" w:cs="Arial"/>
                <w:sz w:val="20"/>
                <w:szCs w:val="20"/>
                <w:lang w:val="en-US"/>
              </w:rPr>
              <w:t>, PM</w:t>
            </w:r>
            <w:r w:rsidRPr="00C9504C">
              <w:rPr>
                <w:rFonts w:ascii="Arial" w:hAnsi="Arial" w:cs="Arial"/>
                <w:sz w:val="20"/>
                <w:szCs w:val="20"/>
                <w:vertAlign w:val="subscript"/>
                <w:lang w:val="en-US"/>
              </w:rPr>
              <w:t>1</w:t>
            </w:r>
          </w:p>
        </w:tc>
        <w:tc>
          <w:tcPr>
            <w:tcW w:w="1417" w:type="dxa"/>
            <w:shd w:val="clear" w:color="auto" w:fill="auto"/>
            <w:noWrap/>
          </w:tcPr>
          <w:p w14:paraId="740D27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Gdynia, Poland</w:t>
            </w:r>
          </w:p>
        </w:tc>
        <w:tc>
          <w:tcPr>
            <w:tcW w:w="1191" w:type="dxa"/>
            <w:shd w:val="clear" w:color="auto" w:fill="auto"/>
            <w:noWrap/>
          </w:tcPr>
          <w:p w14:paraId="37AB2FC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3D55238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2012–Dec. 2012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06411FB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0B6AFE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22A156F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229259E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6390161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LC-FLD</w:t>
            </w:r>
          </w:p>
        </w:tc>
        <w:tc>
          <w:tcPr>
            <w:tcW w:w="1134" w:type="dxa"/>
            <w:shd w:val="clear" w:color="auto" w:fill="auto"/>
            <w:noWrap/>
          </w:tcPr>
          <w:p w14:paraId="29AD218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UAE with </w:t>
            </w:r>
            <w:proofErr w:type="spellStart"/>
            <w:r w:rsidRPr="00C9504C">
              <w:rPr>
                <w:rFonts w:ascii="Arial" w:hAnsi="Arial" w:cs="Arial"/>
                <w:sz w:val="20"/>
                <w:szCs w:val="20"/>
                <w:lang w:val="en-US"/>
              </w:rPr>
              <w:t>MeCN</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MeOH</w:t>
            </w:r>
            <w:proofErr w:type="spellEnd"/>
          </w:p>
        </w:tc>
        <w:tc>
          <w:tcPr>
            <w:tcW w:w="1077" w:type="dxa"/>
            <w:shd w:val="clear" w:color="auto" w:fill="auto"/>
            <w:noWrap/>
          </w:tcPr>
          <w:p w14:paraId="71EC7E2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18B081E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83%</w:t>
            </w:r>
          </w:p>
          <w:p w14:paraId="46742567"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Unc</w:t>
            </w:r>
            <w:proofErr w:type="spellEnd"/>
            <w:r w:rsidRPr="00C9504C">
              <w:rPr>
                <w:rFonts w:ascii="Arial" w:hAnsi="Arial" w:cs="Arial"/>
                <w:sz w:val="20"/>
                <w:szCs w:val="20"/>
                <w:lang w:val="en-US"/>
              </w:rPr>
              <w:t>.:</w:t>
            </w:r>
          </w:p>
          <w:p w14:paraId="70CBB9E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&lt;5%</w:t>
            </w:r>
          </w:p>
        </w:tc>
        <w:tc>
          <w:tcPr>
            <w:tcW w:w="907" w:type="dxa"/>
          </w:tcPr>
          <w:p w14:paraId="52A6E84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2585</w:t>
            </w:r>
          </w:p>
        </w:tc>
        <w:tc>
          <w:tcPr>
            <w:tcW w:w="1247" w:type="dxa"/>
          </w:tcPr>
          <w:p w14:paraId="682A735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3F96BDB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{"citationID":"y35mfYDl","properties":{"formattedCitation":"(48)","plainCitation":"(48)","dontUpdate":true,"noteIndex":0},"citationItems":[{"id":1107,"uris":["http://zotero.org/users/12446040/items/FNZ9HFJ7"],"itemData":{"id":1107,"type":"article-journal","abstract":"Parallel measurements of PM1 and PM2.5 aerosols were conducted in the urbanized coastal zone of the southern Baltic Sea. The main aim of the research was to assess and determine annual, seasonal (heating and non-heating), and daily concentration variability of benzo(a)pyrene in aerosols, these being the most dangerous constituents to human health. The average annual concentration of benzo(a)pyrene (B(a)P) was equal to 2.6 ng·m−3 in PM1 and 4.6 ng·m−3 in PM2.5, and both values were several times higher than the level of 1 ng·m−3 which was set out in the CAFE Directive. High mean daily concentrations of B(a)P persisted for 50 and 65% of the study period in PM1 and PM2.5, respectively. In order to determine the sources of B(a)P in both aerosol fractions, organic (OC) and elemental (EC) carbon concentrations were examined. The highest concentrations of all carbon species were reported during the heating season under local or regional land advection and at low air temperatures. The origin of pollutants was the same and was primarily related to the combustion of fossil fuels in the communal-utility sector. During the non-heating period, the role of transportation, both land and marine, increased and may have been significant in creating higher concentrations of carbon compounds in PM1 and PM2.5. Regardless of the size of the aerosol fractions, B(a)P loads introduced into the Baltic coastal zone were several times higher during the heating period compared to the non-heating season.","container-title":"Environmental Science and Pollution Research","DOI":"10.1007/s11356-018-2089-9","ISSN":"1614-7499","issue":"20","journalAbbreviation":"Environ Sci Pollut Res","language":"en","page":"19458-19469","source":"Springer Link","title":"Benzo(a)pyrene parallel measurements in PM1 and PM2.5 in the coastal zone of the Gulf of Gdansk (Baltic Sea) in the heating and non-heating seasons","volume":"25","author":[{"family":"Lewandowska","given":"Anita Urszula"},{"family":"Staniszewska","given":"Marta"},{"family":"Witkowska","given":"Agnieszka"},{"family":"Machuta","given":"Magdalena"},{"family":"Falkowska","given":"Lucyna"}],"issued":{"date-parts":[["2018",7,1]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[48]</w:t>
            </w:r>
            <w:r w:rsidRPr="00C9504C">
              <w:rPr>
                <w:rFonts w:ascii="Arial" w:hAnsi="Arial" w:cs="Arial"/>
                <w:sz w:val="20"/>
                <w:szCs w:val="20"/>
              </w:rPr>
              <w:fldChar w:fldCharType="end"/>
            </w:r>
          </w:p>
        </w:tc>
      </w:tr>
      <w:tr w:rsidR="006751F9" w:rsidRPr="00AE1E24" w14:paraId="34A78E70" w14:textId="77777777" w:rsidTr="00420FF2">
        <w:trPr>
          <w:trHeight w:val="300"/>
          <w:jc w:val="center"/>
        </w:trPr>
        <w:tc>
          <w:tcPr>
            <w:tcW w:w="737" w:type="dxa"/>
            <w:shd w:val="clear" w:color="auto" w:fill="auto"/>
            <w:noWrap/>
          </w:tcPr>
          <w:p w14:paraId="5AE8DDC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−PM</w:t>
            </w:r>
            <w:r w:rsidRPr="00C9504C">
              <w:rPr>
                <w:rFonts w:ascii="Arial" w:hAnsi="Arial" w:cs="Arial"/>
                <w:sz w:val="20"/>
                <w:szCs w:val="20"/>
                <w:vertAlign w:val="subscript"/>
                <w:lang w:val="en-US"/>
              </w:rPr>
              <w:t>1</w:t>
            </w:r>
          </w:p>
        </w:tc>
        <w:tc>
          <w:tcPr>
            <w:tcW w:w="1417" w:type="dxa"/>
            <w:shd w:val="clear" w:color="auto" w:fill="auto"/>
            <w:noWrap/>
          </w:tcPr>
          <w:p w14:paraId="3290EF4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Hangzhou, China</w:t>
            </w:r>
          </w:p>
        </w:tc>
        <w:tc>
          <w:tcPr>
            <w:tcW w:w="1191" w:type="dxa"/>
            <w:shd w:val="clear" w:color="auto" w:fill="auto"/>
            <w:noWrap/>
          </w:tcPr>
          <w:p w14:paraId="7D38B51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388DB1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2017−Dec. 2018</w:t>
            </w:r>
          </w:p>
        </w:tc>
        <w:tc>
          <w:tcPr>
            <w:tcW w:w="1134" w:type="dxa"/>
            <w:shd w:val="clear" w:color="auto" w:fill="auto"/>
            <w:noWrap/>
          </w:tcPr>
          <w:p w14:paraId="344A258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37" w:type="dxa"/>
            <w:shd w:val="clear" w:color="auto" w:fill="auto"/>
            <w:noWrap/>
          </w:tcPr>
          <w:p w14:paraId="1B8E5E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94" w:type="dxa"/>
            <w:shd w:val="clear" w:color="auto" w:fill="auto"/>
            <w:noWrap/>
          </w:tcPr>
          <w:p w14:paraId="3FCDE4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91" w:type="dxa"/>
            <w:shd w:val="clear" w:color="auto" w:fill="auto"/>
            <w:noWrap/>
          </w:tcPr>
          <w:p w14:paraId="58CA5CB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6653EE8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FAAS</w:t>
            </w:r>
          </w:p>
        </w:tc>
        <w:tc>
          <w:tcPr>
            <w:tcW w:w="1134" w:type="dxa"/>
            <w:shd w:val="clear" w:color="auto" w:fill="auto"/>
            <w:noWrap/>
          </w:tcPr>
          <w:p w14:paraId="3CF3DD7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7284A95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6661AA3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981</w:t>
            </w:r>
          </w:p>
        </w:tc>
        <w:tc>
          <w:tcPr>
            <w:tcW w:w="1247" w:type="dxa"/>
          </w:tcPr>
          <w:p w14:paraId="4BCC46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EF, BTA, PCA</w:t>
            </w:r>
          </w:p>
        </w:tc>
        <w:tc>
          <w:tcPr>
            <w:tcW w:w="907" w:type="dxa"/>
          </w:tcPr>
          <w:p w14:paraId="76B263B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{"citationID":"p4scXmGX","properties":{"formattedCitation":"(49)","plainCitation":"(49)","dontUpdate":true,"noteIndex":0},"citationItems":[{"id":1407,"uris":["http://zotero.org/users/12446040/items/IIH9K7XL"],"itemData":{"id":1407,"type":"article-journal","abstract":"Megacities face significant pollution challenges, particularly the elevated levels of heavy metals (HMs) in particulate matter (PM). Despite the advent of interdisciplinary and advanced methods for HM source analysis, integrating and applying these approaches to identify HM sources in PM remains a hurdle. This study employs a year-long daily sampling dataset for PM1 and PM1-10 to examine the patterns of HM concentrations under hazy, clean, and rainy conditions in Hangzhou City, aiming to pinpoint the primary sources of HMs in PM. Contrary to other HMs that remained within acceptable limits, the annual average concentrations of Cd and Ni were found to be 20.6 ± 13.6 and 46.9 ± 34.8 ng/m³, respectively, surpassing the World Health Organization's limits by 4.1 and 1.9 times. Remarkably, Cd levels decreased on hazy days, whereas Ni levels were observed to rise on rainy days. Using principal component analysis (PCA), enrichment factor (EF), and backward trajectory analysis, Fe, Mn, Cu, and Zn were determined to be primarily derived from traffic emissions, and there was an interaction between remote migration and local emissions in haze weather. Isotope analysis reveals that Pb concentrations in the Hangzhou region were primarily influenced by emissions from unleaded gasoline, coal combustion, and municipal solid waste incineration, with additional impact from long-range transport; it also highlights nuanced differences between PM1 and PM1-10. Pb isotope and PCA analyses indicate that Ni primarily stemmed from waste incineration emissions. This explanation accounts for the observed higher Ni concentrations on rainy days. Backward trajectory cluster analysis revealed that southern airflows were the primary source of high Cd concentrations on clean days in Hangzhou City. This study employs a multifaceted approach and cross-validation to successfully delineate the sources of HMs in Hangzhou's PM. It offers a methodology for the precise and reliable analysis of complex HM sources in megacity PM.","container-title":"Journal of Environmental Management","DOI":"10.1016/j.jenvman.2024.121747","ISSN":"0301-4797","journalAbbreviation":"Journal of Environmental Management","page":"121747","source":"ScienceDirect","title":"Comprehensive source identification of heavy metals in atmospheric particulate matter in a megacity: A case study of Hangzhou","title-short":"Comprehensive source identification of heavy metals in atmospheric particulate matter in a megacity","volume":"366","author":[{"family":"Li","given":"Feili"},{"family":"Zhang","given":"Gaoxiang"},{"family":"Jinxu","given":"Yifei"},{"family":"Ding","given":"Tianzheng"},{"family":"Liu","given":"Cong-Qiang"},{"family":"Lang","given":"Yunchao"},{"family":"Liu","given":"Nuohang"},{"family":"Song","given":"Shuang"},{"family":"Shi","given":"Yasheng"},{"family":"Ge","given":"Baozhu"}],"issued":{"date-parts":[["2024",8,1]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[49]</w:t>
            </w:r>
            <w:r w:rsidRPr="00C9504C">
              <w:rPr>
                <w:rFonts w:ascii="Arial" w:hAnsi="Arial" w:cs="Arial"/>
                <w:sz w:val="20"/>
                <w:szCs w:val="20"/>
              </w:rPr>
              <w:fldChar w:fldCharType="end"/>
            </w:r>
          </w:p>
        </w:tc>
      </w:tr>
      <w:tr w:rsidR="006751F9" w:rsidRPr="00AE1E24" w14:paraId="66298CB1" w14:textId="77777777" w:rsidTr="00420FF2">
        <w:trPr>
          <w:trHeight w:val="300"/>
          <w:jc w:val="center"/>
        </w:trPr>
        <w:tc>
          <w:tcPr>
            <w:tcW w:w="737" w:type="dxa"/>
            <w:shd w:val="clear" w:color="auto" w:fill="auto"/>
            <w:noWrap/>
          </w:tcPr>
          <w:p w14:paraId="1B10326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5769AF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Taiyuan, China</w:t>
            </w:r>
          </w:p>
        </w:tc>
        <w:tc>
          <w:tcPr>
            <w:tcW w:w="1191" w:type="dxa"/>
            <w:shd w:val="clear" w:color="auto" w:fill="auto"/>
            <w:noWrap/>
          </w:tcPr>
          <w:p w14:paraId="0C77AED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667B1D9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2013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1C2BC9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6E3FF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03D3B0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B3115C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551D9DE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6C3F97A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w:t>
            </w:r>
          </w:p>
          <w:p w14:paraId="5EAAFC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DCM</w:t>
            </w:r>
          </w:p>
        </w:tc>
        <w:tc>
          <w:tcPr>
            <w:tcW w:w="1077" w:type="dxa"/>
            <w:shd w:val="clear" w:color="auto" w:fill="auto"/>
            <w:noWrap/>
          </w:tcPr>
          <w:p w14:paraId="60A871B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39202D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&lt;9%</w:t>
            </w:r>
          </w:p>
          <w:p w14:paraId="227BE9F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06CC99F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63</w:t>
            </w:r>
            <w:r w:rsidRPr="0085132E">
              <w:rPr>
                <w:rFonts w:ascii="Arial" w:hAnsi="Arial" w:cs="Arial"/>
                <w:color w:val="000000" w:themeColor="text1"/>
                <w:sz w:val="20"/>
                <w:szCs w:val="20"/>
                <w:lang w:val="en-US"/>
              </w:rPr>
              <w:t>%</w:t>
            </w:r>
            <w:r w:rsidRPr="00C9504C">
              <w:rPr>
                <w:rFonts w:ascii="Arial" w:hAnsi="Arial" w:cs="Arial"/>
                <w:sz w:val="20"/>
                <w:szCs w:val="20"/>
                <w:lang w:val="en-US"/>
              </w:rPr>
              <w:t>−128%</w:t>
            </w:r>
          </w:p>
        </w:tc>
        <w:tc>
          <w:tcPr>
            <w:tcW w:w="907" w:type="dxa"/>
          </w:tcPr>
          <w:p w14:paraId="723BEA7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7F9E4DC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p>
        </w:tc>
        <w:tc>
          <w:tcPr>
            <w:tcW w:w="907" w:type="dxa"/>
          </w:tcPr>
          <w:p w14:paraId="771B1CB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{"citationID":"4xdRICcI","properties":{"formattedCitation":"(50)","plainCitation":"(50)","dontUpdate":true,"noteIndex":0},"citationItems":[{"id":739,"uris":["http://zotero.org/users/12446040/items/T5UJER6B"],"itemData":{"id":739,"type":"article-journal","abstract":"The pollution characteristics of ambient fine particulate matter (PM2.5) containing polycyclic aromatic hydrocarbons (PAHs) and nitrated PAHs (NPAHs) in samples collected during a typical winter time period in Taiyuan of China were investigated. The obtained results revealed that the mean mass concentrations of PM2.5, ΣPAHs (sum of 16PAHs) and ΣNPAHs (sum of 3NPAHs) on PM2.5 were 161.4μg/m3, 119.8ng/m3 and 0.446ng/m3, respectively. Diagnostic ratios of PAHs and NPAHs implied that coal consumption might be the main source of the PM2.5 pollution. The measured PM2.5 mass concentrations, BaP equivalent toxicity (28.632ng/m3) and individual carcinogenicity index (3.14×10−5) were much higher than those of the recommended safety standards.","container-title":"Chinese Chemical Letters","DOI":"10.1016/j.cclet.2014.03.032","ISSN":"1001-8417","issue":"5","journalAbbreviation":"Chinese Chemical Letters","page":"663-666","source":"ScienceDirect","title":"Pollution characteristics of ambient PM2.5-bound PAHs and NPAHs in a typical winter time period in Taiyuan","volume":"25","author":[{"family":"Li","given":"Rui-Jin"},{"family":"Kou","given":"Xiao-Jing"},{"family":"Geng","given":"Hong"},{"family":"Dong","given":"Chuan"},{"family":"Cai","given":"Zong-Wei"}],"issued":{"date-parts":[["2014",5,1]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[50]</w:t>
            </w:r>
            <w:r w:rsidRPr="00C9504C">
              <w:rPr>
                <w:rFonts w:ascii="Arial" w:hAnsi="Arial" w:cs="Arial"/>
                <w:sz w:val="20"/>
                <w:szCs w:val="20"/>
              </w:rPr>
              <w:fldChar w:fldCharType="end"/>
            </w:r>
          </w:p>
        </w:tc>
      </w:tr>
      <w:tr w:rsidR="006751F9" w:rsidRPr="00AE1E24" w14:paraId="5E1EAE33" w14:textId="77777777" w:rsidTr="00420FF2">
        <w:trPr>
          <w:trHeight w:val="300"/>
          <w:jc w:val="center"/>
        </w:trPr>
        <w:tc>
          <w:tcPr>
            <w:tcW w:w="737" w:type="dxa"/>
            <w:shd w:val="clear" w:color="auto" w:fill="auto"/>
            <w:noWrap/>
          </w:tcPr>
          <w:p w14:paraId="6307580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2BC852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Beijing, China</w:t>
            </w:r>
          </w:p>
        </w:tc>
        <w:tc>
          <w:tcPr>
            <w:tcW w:w="1191" w:type="dxa"/>
            <w:shd w:val="clear" w:color="auto" w:fill="auto"/>
            <w:noWrap/>
          </w:tcPr>
          <w:p w14:paraId="3F17387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78DE13B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2014–</w:t>
            </w:r>
            <w:r w:rsidRPr="00C9504C">
              <w:rPr>
                <w:rFonts w:ascii="Arial" w:hAnsi="Arial" w:cs="Arial"/>
                <w:sz w:val="20"/>
                <w:szCs w:val="20"/>
                <w:lang w:val="en-US"/>
              </w:rPr>
              <w:lastRenderedPageBreak/>
              <w:t>Feb. 2014 (98)</w:t>
            </w:r>
          </w:p>
        </w:tc>
        <w:tc>
          <w:tcPr>
            <w:tcW w:w="1134" w:type="dxa"/>
            <w:shd w:val="clear" w:color="auto" w:fill="auto"/>
            <w:noWrap/>
          </w:tcPr>
          <w:p w14:paraId="7AA7D95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HVS</w:t>
            </w:r>
          </w:p>
        </w:tc>
        <w:tc>
          <w:tcPr>
            <w:tcW w:w="737" w:type="dxa"/>
            <w:shd w:val="clear" w:color="auto" w:fill="auto"/>
            <w:noWrap/>
          </w:tcPr>
          <w:p w14:paraId="144A4B9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w:t>
            </w:r>
            <w:r w:rsidRPr="00C9504C">
              <w:rPr>
                <w:rFonts w:ascii="Arial" w:hAnsi="Arial" w:cs="Arial"/>
                <w:sz w:val="20"/>
                <w:szCs w:val="20"/>
                <w:lang w:val="en-US"/>
              </w:rPr>
              <w:lastRenderedPageBreak/>
              <w:t>min</w:t>
            </w:r>
            <w:r w:rsidRPr="00C9504C">
              <w:rPr>
                <w:rFonts w:ascii="Arial" w:hAnsi="Arial" w:cs="Arial"/>
                <w:sz w:val="20"/>
                <w:szCs w:val="20"/>
                <w:vertAlign w:val="superscript"/>
                <w:lang w:val="en-US"/>
              </w:rPr>
              <w:t>−1</w:t>
            </w:r>
          </w:p>
        </w:tc>
        <w:tc>
          <w:tcPr>
            <w:tcW w:w="794" w:type="dxa"/>
            <w:shd w:val="clear" w:color="auto" w:fill="auto"/>
            <w:noWrap/>
          </w:tcPr>
          <w:p w14:paraId="0143412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QFF</w:t>
            </w:r>
          </w:p>
        </w:tc>
        <w:tc>
          <w:tcPr>
            <w:tcW w:w="1191" w:type="dxa"/>
            <w:shd w:val="clear" w:color="auto" w:fill="auto"/>
            <w:noWrap/>
          </w:tcPr>
          <w:p w14:paraId="0C27C98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p w14:paraId="6D6A9DF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2E3A662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p w14:paraId="116ECE5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62EF0BC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UAE with DCM, </w:t>
            </w:r>
            <w:r w:rsidRPr="00C9504C">
              <w:rPr>
                <w:rFonts w:ascii="Arial" w:hAnsi="Arial" w:cs="Arial"/>
                <w:sz w:val="20"/>
                <w:szCs w:val="20"/>
                <w:lang w:val="en-US"/>
              </w:rPr>
              <w:lastRenderedPageBreak/>
              <w:t>MeOH, MAD with HCl, HNO</w:t>
            </w:r>
            <w:r w:rsidRPr="00C9504C">
              <w:rPr>
                <w:rFonts w:ascii="Arial" w:hAnsi="Arial" w:cs="Arial"/>
                <w:sz w:val="20"/>
                <w:szCs w:val="20"/>
                <w:vertAlign w:val="subscript"/>
                <w:lang w:val="en-US"/>
              </w:rPr>
              <w:t>3</w:t>
            </w:r>
            <w:r w:rsidRPr="00C9504C">
              <w:rPr>
                <w:rFonts w:ascii="Arial" w:hAnsi="Arial" w:cs="Arial"/>
                <w:sz w:val="20"/>
                <w:szCs w:val="20"/>
                <w:lang w:val="en-US"/>
              </w:rPr>
              <w:t>, HF</w:t>
            </w:r>
          </w:p>
        </w:tc>
        <w:tc>
          <w:tcPr>
            <w:tcW w:w="1077" w:type="dxa"/>
            <w:shd w:val="clear" w:color="auto" w:fill="auto"/>
            <w:noWrap/>
          </w:tcPr>
          <w:p w14:paraId="07A42DF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Rec.:</w:t>
            </w:r>
          </w:p>
          <w:p w14:paraId="4083E73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&gt;72%</w:t>
            </w:r>
          </w:p>
        </w:tc>
        <w:tc>
          <w:tcPr>
            <w:tcW w:w="907" w:type="dxa"/>
          </w:tcPr>
          <w:p w14:paraId="1F4A39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7D93254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BTA, DR, PMF</w:t>
            </w:r>
          </w:p>
        </w:tc>
        <w:tc>
          <w:tcPr>
            <w:tcW w:w="907" w:type="dxa"/>
          </w:tcPr>
          <w:p w14:paraId="110A95B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{"citationID":"PnFkGMOD","properties":{"formattedCitation":"(51)","plainCitation":"(51)","dontUpdate":true,"noteIndex":0},"citationItems":[{"id":1081,"uris":["http://zotero.org/users/12446040/items/EPVU7EMD"],"itemData":{"id":1081,"type":"article-journal","abstract":"Air pollution in north China is still severe, although Chinese government has exerted great efforts to cut down pollutant emissions in the past decade. To understand the chemistry and sources of the haze particles in north China, PM2.5 aerosols were collected in Beijing from January 7 to February 27, 2014, during which two haze episodes (haze I and haze II) occurred. The samples were analyzed for water soluble inorganic ions, trace elements, sugars, n-alkane, polycyclic aromatic hydrocarbons (PAHs), fatty acids, dicarboxylic acid, EC (elemental carbon) and OC (organic carbon). Our results showed that relative abundances of primary species such as sugars, PAHs and EC were more abundant on the clean days and the haze I period in Beijing, while secondary aerosols especially secondary inorganic aerosol (SIA)were more abundant in the haze II period. Source apportionment further showed that emissions from cooking (21.6%), road-dust (19.4%), coal combustion (17.8%) and biomass burning (15.4%) were the main sources of PM2.5 during the clean days, while biomass burning (20.1%) and coal combustion (17.1%) were the main sources during haze I period. For the haze II period, vehicle exhausts (26.9%), secondary aerosol formation (26.6%) and industrial emission (19.1%) were the dominant sources of PM2.5. Our work suggests that it is indispensable to reduce the emissions from biomass burning and vehicle exhaust in Beijing in order to further mitigate the haze pollution.","container-title":"Atmospheric Research","DOI":"10.1016/j.atmosres.2018.10.010","ISSN":"0169-8095","journalAbbreviation":"Atmospheric Research","page":"25-33","source":"ScienceDirect","title":"Wintertime aerosol chemistry in Beijing during haze period: Significant contribution from secondary formation and biomass burning emission","title-short":"Wintertime aerosol chemistry in Beijing during haze period","volume":"218","author":[{"family":"Li","given":"Xingru"},{"family":"Jiang","given":"Lei"},{"family":"Bai","given":"Yu"},{"family":"Yang","given":"Yang"},{"family":"Liu","given":"Shuiqiao"},{"family":"Chen","given":"Xi"},{"family":"Xu","given":"Jing"},{"family":"Liu","given":"Yusi"},{"family":"Wang","given":"Yingfeng"},{"family":"Guo","given":"Xueqing"},{"family":"Wang","given":"Yuesi"},{"family":"Wang","given":"Gehui"}],"issued":{"date-parts":[["2019",4,1]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[51]</w:t>
            </w:r>
            <w:r w:rsidRPr="00C9504C">
              <w:rPr>
                <w:rFonts w:ascii="Arial" w:hAnsi="Arial" w:cs="Arial"/>
                <w:sz w:val="20"/>
                <w:szCs w:val="20"/>
              </w:rPr>
              <w:fldChar w:fldCharType="end"/>
            </w:r>
          </w:p>
        </w:tc>
      </w:tr>
      <w:tr w:rsidR="006751F9" w:rsidRPr="00AE1E24" w14:paraId="38383960" w14:textId="77777777" w:rsidTr="00420FF2">
        <w:trPr>
          <w:trHeight w:val="300"/>
          <w:jc w:val="center"/>
        </w:trPr>
        <w:tc>
          <w:tcPr>
            <w:tcW w:w="737" w:type="dxa"/>
            <w:shd w:val="clear" w:color="auto" w:fill="auto"/>
            <w:noWrap/>
          </w:tcPr>
          <w:p w14:paraId="5A0DCC1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2.5</w:t>
            </w:r>
          </w:p>
        </w:tc>
        <w:tc>
          <w:tcPr>
            <w:tcW w:w="1417" w:type="dxa"/>
            <w:shd w:val="clear" w:color="auto" w:fill="auto"/>
            <w:noWrap/>
          </w:tcPr>
          <w:p w14:paraId="5E5C82D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Beijing, China</w:t>
            </w:r>
          </w:p>
        </w:tc>
        <w:tc>
          <w:tcPr>
            <w:tcW w:w="1191" w:type="dxa"/>
            <w:shd w:val="clear" w:color="auto" w:fill="auto"/>
            <w:noWrap/>
          </w:tcPr>
          <w:p w14:paraId="1E13B00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745481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Mar. 2012–Mar. 2013 (66)</w:t>
            </w:r>
          </w:p>
        </w:tc>
        <w:tc>
          <w:tcPr>
            <w:tcW w:w="1134" w:type="dxa"/>
            <w:shd w:val="clear" w:color="auto" w:fill="auto"/>
            <w:noWrap/>
          </w:tcPr>
          <w:p w14:paraId="6901116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6905D15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1F3DF6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27221BB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628F117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259D694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Hx, Ace</w:t>
            </w:r>
          </w:p>
        </w:tc>
        <w:tc>
          <w:tcPr>
            <w:tcW w:w="1077" w:type="dxa"/>
            <w:shd w:val="clear" w:color="auto" w:fill="auto"/>
            <w:noWrap/>
          </w:tcPr>
          <w:p w14:paraId="22DCB6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084BF08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83±17%</w:t>
            </w:r>
          </w:p>
        </w:tc>
        <w:tc>
          <w:tcPr>
            <w:tcW w:w="907" w:type="dxa"/>
          </w:tcPr>
          <w:p w14:paraId="6456A15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6A775E1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PMF, DR</w:t>
            </w:r>
          </w:p>
        </w:tc>
        <w:tc>
          <w:tcPr>
            <w:tcW w:w="907" w:type="dxa"/>
          </w:tcPr>
          <w:p w14:paraId="0061850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{"citationID":"vklCCXHS","properties":{"formattedCitation":"(52)","plainCitation":"(52)","dontUpdate":true,"noteIndex":0},"citationItems":[{"id":1109,"uris":["http://zotero.org/users/12446040/items/FUGKW4YF"],"itemData":{"id":1109,"type":"article-journal","abstract":"Fine particulate matter (PM2.5) is a significant health issue in Chinese megacities. However, little information is available regarding the PM2.5-bound toxic organics, especially their sources, atmospheric transformations, and health implications. In this study, we assessed the levels of polycyclic aromatic hydrocarbons (PAHs) and their nitrated, hydroxylated, and oxygenated derivatives (i.e., NPAHs, OHPAHs, and OPAHs, respectively) in PM2.5 collected in Beijing over a 1 year period. The median concentration of 23 PAHs, 15 NPAHs, 16 OHPAHs, and 7 OPAHs in PM2.5 was 53.8, 1.14, 1.40, and 3.62 ng m−3, respectively. Much higher concentrations and mass percentages for all species were observed in the heating season, indicating a higher toxicity of PM2.5 during this period of time. Positive matrix factorization was applied to apportion the sources of PAHs and their derivatives. It was found that traffic emissions in the nonheating season, and coal combustion and biomass burning in the heating season, were the major primary sources of PAHs and their derivatives. Secondary formation, however, contributed significantly to the derivatives of PAHs (especially NPAHs and OPAHs) in the nonheating season, suggesting significant impacts of atmospheric transformation on the toxicity of PM2.5.","container-title":"Journal of Geophysical Research: Atmospheres","DOI":"10.1002/2015JD023628","ISSN":"2169-8996","issue":"14","language":"en","license":"©2015. American Geophysical Union. All Rights Reserved.","note":"_eprint: https://onlinelibrary.wiley.com/doi/pdf/10.1002/2015JD023628","page":"7219-7228","source":"Wiley Online Library","title":"Sources, transformation, and health implications of PAHs and their nitrated, hydroxylated, and oxygenated derivatives in PM2.5 in Beijing","volume":"120","author":[{"family":"Lin","given":"Yan"},{"family":"Ma","given":"Yiqiu"},{"family":"Qiu","given":"Xinghua"},{"family":"Li","given":"Ran"},{"family":"Fang","given":"Yanhua"},{"family":"Wang","given":"Junxia"},{"family":"Zhu","given":"Yifang"},{"family":"Hu","given":"Di"}],"issued":{"date-parts":[["2015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[52]</w:t>
            </w:r>
            <w:r w:rsidRPr="00C9504C">
              <w:rPr>
                <w:rFonts w:ascii="Arial" w:hAnsi="Arial" w:cs="Arial"/>
                <w:sz w:val="20"/>
                <w:szCs w:val="20"/>
              </w:rPr>
              <w:fldChar w:fldCharType="end"/>
            </w:r>
          </w:p>
        </w:tc>
      </w:tr>
      <w:tr w:rsidR="006751F9" w:rsidRPr="00AE1E24" w14:paraId="289F5863" w14:textId="77777777" w:rsidTr="00420FF2">
        <w:trPr>
          <w:trHeight w:val="300"/>
          <w:jc w:val="center"/>
        </w:trPr>
        <w:tc>
          <w:tcPr>
            <w:tcW w:w="737" w:type="dxa"/>
            <w:shd w:val="clear" w:color="auto" w:fill="auto"/>
            <w:noWrap/>
          </w:tcPr>
          <w:p w14:paraId="5FFDF2B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&gt;9</w:t>
            </w:r>
            <w:r w:rsidRPr="00C9504C">
              <w:rPr>
                <w:rFonts w:ascii="Arial" w:hAnsi="Arial" w:cs="Arial"/>
                <w:sz w:val="20"/>
                <w:szCs w:val="20"/>
                <w:lang w:val="en-US"/>
              </w:rPr>
              <w:t>–PM</w:t>
            </w:r>
            <w:r w:rsidRPr="00C9504C">
              <w:rPr>
                <w:rFonts w:ascii="Arial" w:hAnsi="Arial" w:cs="Arial"/>
                <w:sz w:val="20"/>
                <w:szCs w:val="20"/>
                <w:vertAlign w:val="subscript"/>
                <w:lang w:val="en-US"/>
              </w:rPr>
              <w:t>&lt;0.4</w:t>
            </w:r>
          </w:p>
        </w:tc>
        <w:tc>
          <w:tcPr>
            <w:tcW w:w="1417" w:type="dxa"/>
            <w:shd w:val="clear" w:color="auto" w:fill="auto"/>
            <w:noWrap/>
          </w:tcPr>
          <w:p w14:paraId="2C5437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Changsha, China</w:t>
            </w:r>
          </w:p>
        </w:tc>
        <w:tc>
          <w:tcPr>
            <w:tcW w:w="1191" w:type="dxa"/>
            <w:shd w:val="clear" w:color="auto" w:fill="auto"/>
            <w:noWrap/>
          </w:tcPr>
          <w:p w14:paraId="35EFB84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487E69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Apr. 2014–May 2014 (36)</w:t>
            </w:r>
          </w:p>
        </w:tc>
        <w:tc>
          <w:tcPr>
            <w:tcW w:w="1134" w:type="dxa"/>
            <w:shd w:val="clear" w:color="auto" w:fill="auto"/>
            <w:noWrap/>
          </w:tcPr>
          <w:p w14:paraId="34AE5CD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202C0C0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28.3 L min</w:t>
            </w:r>
            <w:r w:rsidRPr="00C9504C">
              <w:rPr>
                <w:rFonts w:ascii="Arial" w:hAnsi="Arial" w:cs="Arial"/>
                <w:sz w:val="20"/>
                <w:szCs w:val="20"/>
                <w:vertAlign w:val="superscript"/>
                <w:lang w:val="en-US"/>
              </w:rPr>
              <w:t>−1</w:t>
            </w:r>
          </w:p>
        </w:tc>
        <w:tc>
          <w:tcPr>
            <w:tcW w:w="794" w:type="dxa"/>
            <w:shd w:val="clear" w:color="auto" w:fill="auto"/>
            <w:noWrap/>
          </w:tcPr>
          <w:p w14:paraId="54D7432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w:t>
            </w:r>
          </w:p>
        </w:tc>
        <w:tc>
          <w:tcPr>
            <w:tcW w:w="1191" w:type="dxa"/>
            <w:shd w:val="clear" w:color="auto" w:fill="auto"/>
            <w:noWrap/>
          </w:tcPr>
          <w:p w14:paraId="6138601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4ACA8D1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ICP-OES</w:t>
            </w:r>
          </w:p>
        </w:tc>
        <w:tc>
          <w:tcPr>
            <w:tcW w:w="1134" w:type="dxa"/>
            <w:shd w:val="clear" w:color="auto" w:fill="auto"/>
            <w:noWrap/>
          </w:tcPr>
          <w:p w14:paraId="5794BE6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HCl, HNO</w:t>
            </w:r>
            <w:r w:rsidRPr="00C9504C">
              <w:rPr>
                <w:rFonts w:ascii="Arial" w:hAnsi="Arial" w:cs="Arial"/>
                <w:sz w:val="20"/>
                <w:szCs w:val="20"/>
                <w:vertAlign w:val="subscript"/>
                <w:lang w:val="en-US"/>
              </w:rPr>
              <w:t>3</w:t>
            </w:r>
          </w:p>
        </w:tc>
        <w:tc>
          <w:tcPr>
            <w:tcW w:w="1077" w:type="dxa"/>
            <w:shd w:val="clear" w:color="auto" w:fill="auto"/>
            <w:noWrap/>
          </w:tcPr>
          <w:p w14:paraId="0059044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72050A1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4661752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LADD, HQ, ILCR</w:t>
            </w:r>
          </w:p>
        </w:tc>
        <w:tc>
          <w:tcPr>
            <w:tcW w:w="907" w:type="dxa"/>
          </w:tcPr>
          <w:p w14:paraId="23D7CB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{"citationID":"EcFA7Y6T","properties":{"formattedCitation":"(53)","plainCitation":"(53)","dontUpdate":true,"noteIndex":0},"citationItems":[{"id":1055,"uris":["http://zotero.org/users/12446040/items/8JMKG9E4"],"itemData":{"id":1055,"type":"article-journal","abstract":"This study was performed to investigate the concentration and the health risk of heavy metals (HMs: Zn, Pb, Cd, Ni, Fe, Mn, Cr and Cu) in size-segregated airborne particulate matter (APM). APM samples were collected into 9 size fractions (&gt;9.0μm, 5.8–9.0μm, 4.7–5.8μm, 3.3–4.7μm, 2.1–3.3μm, 1.1–2.1μm, 0.7–1.1μm, 0.4–0.7μm, &lt;0.4μm) by an 8 Stage Non-Viable Cascade Impactor in the campus of Hunan University in Changsha. And then 9 fractions of APM were analyzed for HMs by ICP–OES. The total size-segregated APM concentration in the campus of Hunan University ranged from 120.24 to 271.15μg/m3, and the concentration of HMs in APM was in the range of 38.08–13955.14ng/m3. The health risk of HMs in APM was evaluated by hazard quotient (HQ) and hazard index (HI) and the results showed that dermal contact and ingestion of APM were the major exposure pathways to human health. The HI values of Cd, Mn, Pb and Cr for children and Cd, Mn and Pb for adults exhibited to be higher than 1 indicating that a non-carcinogenic health effect existed in the APM of the campus of Hunan University. The carcinogenic risks of Cd, Ni and Cr were all bellow the safe value.","container-title":"Science of The Total Environment","DOI":"10.1016/j.scitotenv.2015.02.066","ISSN":"0048-9697","journalAbbreviation":"Science of The Total Environment","page":"215-221","source":"ScienceDirect","title":"Mass concentration and health risk assessment of heavy metals in size-segregated airborne particulate matter in Changsha","volume":"517","author":[{"family":"Liu","given":"Xiaoting"},{"family":"Zhai","given":"Yunbo"},{"family":"Zhu","given":"Yun"},{"family":"Liu","given":"Yani"},{"family":"Chen","given":"Hongmei"},{"family":"Li","given":"Ping"},{"family":"Peng","given":"Chuan"},{"family":"Xu","given":"Bibo"},{"family":"Li","given":"Caiting"},{"family":"Zeng","given":"Guangming"}],"issued":{"date-parts":[["2015",6,1]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[53]</w:t>
            </w:r>
            <w:r w:rsidRPr="00C9504C">
              <w:rPr>
                <w:rFonts w:ascii="Arial" w:hAnsi="Arial" w:cs="Arial"/>
                <w:sz w:val="20"/>
                <w:szCs w:val="20"/>
              </w:rPr>
              <w:fldChar w:fldCharType="end"/>
            </w:r>
          </w:p>
        </w:tc>
      </w:tr>
      <w:tr w:rsidR="006751F9" w:rsidRPr="00AE1E24" w14:paraId="70E26DB3" w14:textId="77777777" w:rsidTr="00420FF2">
        <w:trPr>
          <w:trHeight w:val="300"/>
          <w:jc w:val="center"/>
        </w:trPr>
        <w:tc>
          <w:tcPr>
            <w:tcW w:w="737" w:type="dxa"/>
            <w:shd w:val="clear" w:color="auto" w:fill="auto"/>
            <w:noWrap/>
          </w:tcPr>
          <w:p w14:paraId="040E9A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3F54320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France, Spain, Italy, Switzerland, U</w:t>
            </w:r>
            <w:r>
              <w:rPr>
                <w:rFonts w:ascii="Arial" w:hAnsi="Arial" w:cs="Arial"/>
                <w:sz w:val="20"/>
                <w:szCs w:val="20"/>
                <w:lang w:val="en-US"/>
              </w:rPr>
              <w:t>nited Kingdom</w:t>
            </w:r>
            <w:r w:rsidRPr="00C9504C">
              <w:rPr>
                <w:rFonts w:ascii="Arial" w:hAnsi="Arial" w:cs="Arial"/>
                <w:sz w:val="20"/>
                <w:szCs w:val="20"/>
                <w:lang w:val="en-US"/>
              </w:rPr>
              <w:t>, Portugal, Greece</w:t>
            </w:r>
          </w:p>
        </w:tc>
        <w:tc>
          <w:tcPr>
            <w:tcW w:w="1191" w:type="dxa"/>
            <w:shd w:val="clear" w:color="auto" w:fill="auto"/>
            <w:noWrap/>
          </w:tcPr>
          <w:p w14:paraId="1C0F6AA5"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134" w:type="dxa"/>
            <w:shd w:val="clear" w:color="auto" w:fill="auto"/>
            <w:noWrap/>
          </w:tcPr>
          <w:p w14:paraId="167AEF5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2013–2022 (16864)</w:t>
            </w:r>
          </w:p>
        </w:tc>
        <w:tc>
          <w:tcPr>
            <w:tcW w:w="1134" w:type="dxa"/>
            <w:shd w:val="clear" w:color="auto" w:fill="auto"/>
            <w:noWrap/>
          </w:tcPr>
          <w:p w14:paraId="053CCDA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37" w:type="dxa"/>
            <w:shd w:val="clear" w:color="auto" w:fill="auto"/>
            <w:noWrap/>
          </w:tcPr>
          <w:p w14:paraId="08AB1D0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94" w:type="dxa"/>
            <w:shd w:val="clear" w:color="auto" w:fill="auto"/>
            <w:noWrap/>
          </w:tcPr>
          <w:p w14:paraId="2784307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91" w:type="dxa"/>
            <w:shd w:val="clear" w:color="auto" w:fill="auto"/>
            <w:noWrap/>
          </w:tcPr>
          <w:p w14:paraId="1544FAB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1251EC2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 ICP-MS/MS, PIXE, XRF</w:t>
            </w:r>
          </w:p>
        </w:tc>
        <w:tc>
          <w:tcPr>
            <w:tcW w:w="1134" w:type="dxa"/>
            <w:shd w:val="clear" w:color="auto" w:fill="auto"/>
            <w:noWrap/>
          </w:tcPr>
          <w:p w14:paraId="6BDD998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2F58294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6433B8FE"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2F4CD7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31ED1F9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{"citationID":"F2NTVxVO","properties":{"formattedCitation":"(54)","plainCitation":"(54)","dontUpdate":true,"noteIndex":0},"citationItems":[{"id":1400,"uris":["http://zotero.org/users/12446040/items/Z4Y59AUF"],"itemData":{"id":1400,"type":"article-journal","abstract":"Although many studies have discussed the impact of Europe's air quality, very limited research focused on the detailed phenomenology of ambient trace elements (TEs) in PM10 in urban atmosphere. This study compiled long-term (2013–2022) measurements of speciation of ambient urban PM10 from 55 sites of 7 countries (Switzerland, Spain, France, Greece, Italy, Portugal, UK), aiming to elucidate the phenomenology of 20 TEs in PM10 in urban Europe. The monitoring sites comprised urban background (UB, n = 26), traffic (TR, n = 10), industrial (IN, n = 5), suburban background (SUB, n = 7), and rural background (RB, n = 7) types. The sampling campaigns were conducted using standardized protocols to ensure data comparability. In each country, PM10 samples were collected over a fixed period using high-volume air samplers. The analysis encompassed the spatio-temporal distribution of TEs, and relationships between TEs at each site. Results indicated an annual average for the sum of 20 TEs of 90 ± 65 ng/m3, with TR and IN sites exhibiting the highest concentrations (130 ± 66 and 131 ± 80 ng/m3, respectively). Seasonal variability in TEs concentrations, influenced by emission sources and meteorology, revealed significant differences (p &lt; 0.05) across all monitoring sites. Estimation of TE concentrations highlighted distinct ratios between non-carcinogenic and carcinogenic metals, with Zn (40 ± 49 ng/m3), Ti (21 ± 29 ng/m3), and Cu (23 ± 35 ng/m3) dominating non-carcinogenic TEs, while Cr (5 ± 7 ng/m3), and Ni (2 ± 6 ng/m3) were prominent among carcinogenic ones. Correlations between TEs across diverse locations and seasons varied, in agreement with differences in emission sources and meteorological conditions. This study provides valuable insights into TEs in pan-European urban atmosphere, contributing to a comprehensive dataset for future environmental protection policies.","container-title":"Environmental Research","DOI":"10.1016/j.envres.2024.119630","ISSN":"0013-9351","journalAbbreviation":"Environmental Research","page":"119630","source":"ScienceDirect","title":"PM10-bound trace elements in pan-European urban atmosphere","volume":"260","author":[{"family":"Liu","given":"Xiansheng"},{"family":"Zhang","given":"Xun"},{"family":"Wang","given":"Tao"},{"family":"Jin","given":"Bowen"},{"family":"Wu","given":"Lijie"},{"family":"Lara","given":"Rosa"},{"family":"Monge","given":"Marta"},{"family":"Reche","given":"Cristina"},{"family":"Jaffrezo","given":"Jean-Luc"},{"family":"Uzu","given":"Gaelle"},{"family":"Dominutti","given":"Pamela"},{"family":"Darfeuil","given":"Sophie"},{"family":"Favez","given":"Olivier"},{"family":"Conil","given":"Sébastien"},{"family":"Marchand","given":"Nicolas"},{"family":"Castillo","given":"Sonia"},{"family":"Rosa","given":"Jesús D.","non-dropping-particle":"de la"},{"family":"Stuart","given":"Grange"},{"family":"Eleftheriadis","given":"Konstantinos"},{"family":"Diapouli","given":"Evangelia"},{"family":"Gini","given":"Maria I."},{"family":"Nava","given":"Silvia"},{"family":"Alves","given":"Célia"},{"family":"Wang","given":"Xianxia"},{"family":"Xu","given":"Yiming"},{"family":"Green","given":"David C."},{"family":"Beddows","given":"David C. S."},{"family":"Harrison","given":"Roy M."},{"family":"Alastuey","given":"Andrés"},{"family":"Querol","given":"Xavier"}],"issued":{"date-parts":[["2024",11,1]]}}}],"schema":"https://github.com/citation-style-language/schema/raw/master/csl-citation.json"}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[54]</w:t>
            </w:r>
            <w:r w:rsidRPr="00C9504C">
              <w:rPr>
                <w:rFonts w:ascii="Arial" w:hAnsi="Arial" w:cs="Arial"/>
                <w:sz w:val="20"/>
                <w:szCs w:val="20"/>
              </w:rPr>
              <w:fldChar w:fldCharType="end"/>
            </w:r>
          </w:p>
        </w:tc>
      </w:tr>
      <w:tr w:rsidR="006751F9" w:rsidRPr="00AE1E24" w14:paraId="2DA352B5" w14:textId="77777777" w:rsidTr="00420FF2">
        <w:trPr>
          <w:trHeight w:val="300"/>
          <w:jc w:val="center"/>
        </w:trPr>
        <w:tc>
          <w:tcPr>
            <w:tcW w:w="737" w:type="dxa"/>
            <w:shd w:val="clear" w:color="auto" w:fill="auto"/>
            <w:noWrap/>
          </w:tcPr>
          <w:p w14:paraId="3997578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E0688D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Yucheng, China</w:t>
            </w:r>
          </w:p>
        </w:tc>
        <w:tc>
          <w:tcPr>
            <w:tcW w:w="1191" w:type="dxa"/>
            <w:shd w:val="clear" w:color="auto" w:fill="auto"/>
            <w:noWrap/>
          </w:tcPr>
          <w:p w14:paraId="5BBDCC3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1B5162D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2013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1C4945F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MVS</w:t>
            </w:r>
          </w:p>
        </w:tc>
        <w:tc>
          <w:tcPr>
            <w:tcW w:w="737" w:type="dxa"/>
            <w:shd w:val="clear" w:color="auto" w:fill="auto"/>
            <w:noWrap/>
          </w:tcPr>
          <w:p w14:paraId="420E049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tcPr>
          <w:p w14:paraId="2ED342B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79B2435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46CF10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10A8288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DCM, Hx</w:t>
            </w:r>
          </w:p>
        </w:tc>
        <w:tc>
          <w:tcPr>
            <w:tcW w:w="1077" w:type="dxa"/>
            <w:shd w:val="clear" w:color="auto" w:fill="auto"/>
            <w:noWrap/>
          </w:tcPr>
          <w:p w14:paraId="1E27A06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714175B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70</w:t>
            </w:r>
            <w:r w:rsidRPr="0085132E">
              <w:rPr>
                <w:rFonts w:ascii="Arial" w:hAnsi="Arial" w:cs="Arial"/>
                <w:color w:val="000000" w:themeColor="text1"/>
                <w:sz w:val="20"/>
                <w:szCs w:val="20"/>
                <w:lang w:val="en-US"/>
              </w:rPr>
              <w:t>%</w:t>
            </w:r>
            <w:r w:rsidRPr="00C9504C">
              <w:rPr>
                <w:rFonts w:ascii="Arial" w:hAnsi="Arial" w:cs="Arial"/>
                <w:sz w:val="20"/>
                <w:szCs w:val="20"/>
                <w:lang w:val="en-US"/>
              </w:rPr>
              <w:t>−125%</w:t>
            </w:r>
          </w:p>
        </w:tc>
        <w:tc>
          <w:tcPr>
            <w:tcW w:w="907" w:type="dxa"/>
          </w:tcPr>
          <w:p w14:paraId="774D052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60CC958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ILCR, DR, PCA,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BTA</w:t>
            </w:r>
          </w:p>
        </w:tc>
        <w:tc>
          <w:tcPr>
            <w:tcW w:w="907" w:type="dxa"/>
          </w:tcPr>
          <w:p w14:paraId="2391DBA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{"citationID":"4HKdNbQQ","properties":{"formattedCitation":"(55)","plainCitation":"(55)","dontUpdate":true,"noteIndex":0},"citationItems":[{"id":1116,"uris":["http://zotero.org/users/12446040/items/5DI335HX"],"itemData":{"id":1116,"type":"article-journal","abstract":"An analysis of 12 polycyclic aromatic hydrocarbons (PAHs) in PM2.5 (particulate matter with a diameter smaller than 2.5 microns) samples collected at Yucheng, Shandong, in June 2013 was conducted to determine the concentrations, composition, sources, and associated cancer risk. The results revealed that the average PAH concentration was higher during haze episodes (28.28 ± 8.35 ng m−3) when compared to non-haze episodes (23.68 ± 4.17 ng m−3), and diagnostic ratio and principal component analyses indicate that the predominant sources of PAHs were from fossil fuel and coal combustion, likely from vehicle emissions and industrial sources and biomass burning. Coal combustion and biomass burning contributed significantly more during haze episodes, whereas liquid fossil fuel combustion (e.g. petroleum) was the dominant contributor during the non-haze periods. In addition, back-trajectory calculations revealed that the long-distance transport of air masses from regions with industrial pollution and biomass burning contributed significantly to the concentrations of PAHs in the region. The concentration of high molecular weight PAHs (HMW-PAHs) increased from 62.3 % under non-haze conditions to 67.9 % during the haze periods. The benzo[a]pyrene-equivalent carcinogenic potency value during haze episodes was higher (7.09 ng m−3) than that during non-haze (5.64 ng m−3) periods and adults over 30 years old in the Shandong province are at an increased risk of cancer from PAHs.","container-title":"Air Quality, Atmosphere &amp; Health","DOI":"10.1007/s11869-015-0386-8","ISSN":"1873-9326","issue":"7","journalAbbreviation":"Air Qual Atmos Health","language":"en","page":"823-833","source":"Springer Link","title":"Identification of concentrations and sources of PM2.5-bound PAHs in North China during haze episodes in 2013","volume":"9","author":[{"family":"Lu","given":"Wei"},{"family":"Yang","given":"Lingxiao"},{"family":"Chen","given":"Jianmin"},{"family":"Wang","given":"Xinfeng"},{"family":"Li","given":"Hao"},{"family":"Zhu","given":"Yanhong"},{"family":"Wen","given":"Liang"},{"family":"Xu","given":"Caihong"},{"family":"Zhang","given":"Junmei"},{"family":"Zhu","given":"Tong"},{"family":"Wang","given":"Wenxing"}],"issued":{"date-parts":[["2016",11,1]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[55]</w:t>
            </w:r>
            <w:r w:rsidRPr="00C9504C">
              <w:rPr>
                <w:rFonts w:ascii="Arial" w:hAnsi="Arial" w:cs="Arial"/>
                <w:sz w:val="20"/>
                <w:szCs w:val="20"/>
              </w:rPr>
              <w:fldChar w:fldCharType="end"/>
            </w:r>
          </w:p>
        </w:tc>
      </w:tr>
      <w:tr w:rsidR="006751F9" w:rsidRPr="00AE1E24" w14:paraId="742034AC" w14:textId="77777777" w:rsidTr="00420FF2">
        <w:trPr>
          <w:trHeight w:val="300"/>
          <w:jc w:val="center"/>
        </w:trPr>
        <w:tc>
          <w:tcPr>
            <w:tcW w:w="737" w:type="dxa"/>
            <w:shd w:val="clear" w:color="auto" w:fill="auto"/>
            <w:noWrap/>
            <w:hideMark/>
          </w:tcPr>
          <w:p w14:paraId="6DA8AB7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hideMark/>
          </w:tcPr>
          <w:p w14:paraId="7AC6D98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Hong Kong, China</w:t>
            </w:r>
          </w:p>
        </w:tc>
        <w:tc>
          <w:tcPr>
            <w:tcW w:w="1191" w:type="dxa"/>
            <w:shd w:val="clear" w:color="auto" w:fill="auto"/>
            <w:noWrap/>
            <w:hideMark/>
          </w:tcPr>
          <w:p w14:paraId="3994266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hideMark/>
          </w:tcPr>
          <w:p w14:paraId="0392EC5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Sep. 2011−Aug. 2012 (56)</w:t>
            </w:r>
          </w:p>
        </w:tc>
        <w:tc>
          <w:tcPr>
            <w:tcW w:w="1134" w:type="dxa"/>
            <w:shd w:val="clear" w:color="auto" w:fill="auto"/>
            <w:noWrap/>
            <w:hideMark/>
          </w:tcPr>
          <w:p w14:paraId="368220D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hideMark/>
          </w:tcPr>
          <w:p w14:paraId="3932EAB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hideMark/>
          </w:tcPr>
          <w:p w14:paraId="7164408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hideMark/>
          </w:tcPr>
          <w:p w14:paraId="2E0D770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559B3F1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hideMark/>
          </w:tcPr>
          <w:p w14:paraId="3FD084D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DCM, Hx</w:t>
            </w:r>
          </w:p>
        </w:tc>
        <w:tc>
          <w:tcPr>
            <w:tcW w:w="1077" w:type="dxa"/>
            <w:shd w:val="clear" w:color="auto" w:fill="auto"/>
            <w:noWrap/>
            <w:hideMark/>
          </w:tcPr>
          <w:p w14:paraId="3D84EF0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2FD24E2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80</w:t>
            </w:r>
            <w:r w:rsidRPr="0085132E">
              <w:rPr>
                <w:rFonts w:ascii="Arial" w:hAnsi="Arial" w:cs="Arial"/>
                <w:color w:val="000000" w:themeColor="text1"/>
                <w:sz w:val="20"/>
                <w:szCs w:val="20"/>
                <w:lang w:val="en-US"/>
              </w:rPr>
              <w:t>%</w:t>
            </w:r>
            <w:r w:rsidRPr="00C9504C">
              <w:rPr>
                <w:rFonts w:ascii="Arial" w:hAnsi="Arial" w:cs="Arial"/>
                <w:sz w:val="20"/>
                <w:szCs w:val="20"/>
                <w:lang w:val="en-US"/>
              </w:rPr>
              <w:t>−120%</w:t>
            </w:r>
          </w:p>
        </w:tc>
        <w:tc>
          <w:tcPr>
            <w:tcW w:w="907" w:type="dxa"/>
          </w:tcPr>
          <w:p w14:paraId="320D4F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43A98B4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PMF,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p>
        </w:tc>
        <w:tc>
          <w:tcPr>
            <w:tcW w:w="907" w:type="dxa"/>
          </w:tcPr>
          <w:p w14:paraId="5A51185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{"citationID":"KSG2vY4V","properties":{"formattedCitation":"(56)","plainCitation":"(56)","dontUpdate":true,"noteIndex":0},"citationItems":[{"id":430,"uris":["http://zotero.org/users/12446040/items/ASLUY5CT"],"itemData":{"id":430,"type":"article-journal","abstract":"Atmospheric polycyclic aromatic hydrocarbons (PAHs) and their derivatives are of great concern due to their adverse health effects. However, source identification and apportionment of these compounds, particularly their nitrated and hydroxylated derivatives (i.e., NPAHs and OHPAHs), in fine particulate matter (PM2.5) in Hong Kong are still lacking. In this study, we conducted a 1-year observation at an urban site in Hong Kong. PM2.5-bound PAHs and their derivatives were measured, with median concentrations of 4590, 44.4 and 31.6 pg m−3 for ∑21PAHs, ∑13NPAHs, and ∑12OHPAHs, respectively. Higher levels were observed on regional pollution days than on long regional transport (LRT) or local emission days. Based on positive matrix factorization analysis, four sources were determined: marine vessels, vehicle emissions, biomass burning, and a mixed source of coal combustion and NPAHs secondary formation. Coal combustion and biomass burning were the major sources of PAHs, contributing over 85% of PAHs on regional and LRT days. Biomass burning was the predominant source of OHPAHs throughout the year, while NPAHs mainly originated from secondary formation and fuel combustion. For benzo[a]pyrene (BaP)-based PM2.5 toxicity, the mixed source of coal combustion and NPAHs secondary formation was the major contributor, followed by biomass burning and vehicle emissions.","container-title":"Environmental Pollution","DOI":"10.1016/j.envpol.2016.07.034","ISSN":"0269-7491","journalAbbreviation":"Environmental Pollution","page":"742-749","source":"ScienceDirect","title":"A quantitative assessment of source contributions to fine particulate matter (PM2.5)-bound polycyclic aromatic hydrocarbons (PAHs) and their nitrated and hydroxylated derivatives in Hong Kong","volume":"219","author":[{"family":"Ma","given":"Yiqiu"},{"family":"Cheng","given":"Yubo"},{"family":"Qiu","given":"Xinghua"},{"family":"Lin","given":"Yan"},{"family":"Cao","given":"Jing"},{"family":"Hu","given":"Di"}],"issued":{"date-parts":[["2016",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[56]</w:t>
            </w:r>
            <w:r w:rsidRPr="00C9504C">
              <w:rPr>
                <w:rFonts w:ascii="Arial" w:hAnsi="Arial" w:cs="Arial"/>
                <w:sz w:val="20"/>
                <w:szCs w:val="20"/>
              </w:rPr>
              <w:fldChar w:fldCharType="end"/>
            </w:r>
          </w:p>
        </w:tc>
      </w:tr>
      <w:tr w:rsidR="006751F9" w:rsidRPr="00AE1E24" w14:paraId="2BF8EBA4" w14:textId="77777777" w:rsidTr="00420FF2">
        <w:trPr>
          <w:trHeight w:val="300"/>
          <w:jc w:val="center"/>
        </w:trPr>
        <w:tc>
          <w:tcPr>
            <w:tcW w:w="737" w:type="dxa"/>
            <w:shd w:val="clear" w:color="auto" w:fill="auto"/>
            <w:noWrap/>
          </w:tcPr>
          <w:p w14:paraId="12918D9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4F2A5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Harbin, China</w:t>
            </w:r>
          </w:p>
        </w:tc>
        <w:tc>
          <w:tcPr>
            <w:tcW w:w="1191" w:type="dxa"/>
            <w:shd w:val="clear" w:color="auto" w:fill="auto"/>
            <w:noWrap/>
          </w:tcPr>
          <w:p w14:paraId="1BD1E35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5E0BEC6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2017–May 2018 (82)</w:t>
            </w:r>
          </w:p>
        </w:tc>
        <w:tc>
          <w:tcPr>
            <w:tcW w:w="1134" w:type="dxa"/>
            <w:shd w:val="clear" w:color="auto" w:fill="auto"/>
            <w:noWrap/>
          </w:tcPr>
          <w:p w14:paraId="0A791D2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63607D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1005 L min</w:t>
            </w:r>
            <w:r w:rsidRPr="00C9504C">
              <w:rPr>
                <w:rFonts w:ascii="Arial" w:hAnsi="Arial" w:cs="Arial"/>
                <w:sz w:val="20"/>
                <w:szCs w:val="20"/>
                <w:vertAlign w:val="superscript"/>
                <w:lang w:val="en-US"/>
              </w:rPr>
              <w:t>−1</w:t>
            </w:r>
          </w:p>
        </w:tc>
        <w:tc>
          <w:tcPr>
            <w:tcW w:w="794" w:type="dxa"/>
            <w:shd w:val="clear" w:color="auto" w:fill="auto"/>
            <w:noWrap/>
          </w:tcPr>
          <w:p w14:paraId="07B75AD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2023D6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19EB864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7B8BAA4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Hx, Ace</w:t>
            </w:r>
          </w:p>
        </w:tc>
        <w:tc>
          <w:tcPr>
            <w:tcW w:w="1077" w:type="dxa"/>
            <w:shd w:val="clear" w:color="auto" w:fill="auto"/>
            <w:noWrap/>
          </w:tcPr>
          <w:p w14:paraId="380F9CF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4A05744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87</w:t>
            </w:r>
            <w:r w:rsidRPr="0085132E">
              <w:rPr>
                <w:rFonts w:ascii="Arial" w:hAnsi="Arial" w:cs="Arial"/>
                <w:color w:val="000000" w:themeColor="text1"/>
                <w:sz w:val="20"/>
                <w:szCs w:val="20"/>
                <w:lang w:val="en-US"/>
              </w:rPr>
              <w:t>%</w:t>
            </w:r>
            <w:r w:rsidRPr="00C9504C">
              <w:rPr>
                <w:rFonts w:ascii="Arial" w:hAnsi="Arial" w:cs="Arial"/>
                <w:sz w:val="20"/>
                <w:szCs w:val="20"/>
                <w:lang w:val="en-US"/>
              </w:rPr>
              <w:t xml:space="preserve">−105% </w:t>
            </w:r>
          </w:p>
          <w:p w14:paraId="4E4B1C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Prec.:</w:t>
            </w:r>
          </w:p>
          <w:p w14:paraId="328EE18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w:t>
            </w:r>
          </w:p>
        </w:tc>
        <w:tc>
          <w:tcPr>
            <w:tcW w:w="907" w:type="dxa"/>
          </w:tcPr>
          <w:p w14:paraId="2E7001D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1A04701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PMF, PSCF, ILCR,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LLE</w:t>
            </w:r>
          </w:p>
        </w:tc>
        <w:tc>
          <w:tcPr>
            <w:tcW w:w="907" w:type="dxa"/>
          </w:tcPr>
          <w:p w14:paraId="374D4FB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{"citationID":"QirHXjbk","properties":{"formattedCitation":"(57)","plainCitation":"(57)","dontUpdate":true,"noteIndex":0},"citationItems":[{"id":1037,"uris":["http://zotero.org/users/12446040/items/NJV3IY58"],"itemData":{"id":1037,"type":"article-journal","abstract":"Inhalation of atmospheric particulates is an significant way for polycyclic aromatic hydrocarbons (PAHs) and substituted PAHs (SPAHs) to enter the human lungs. Some SPAHs are more virulent than parent PAHs. Atmospheric fine particulate matter (PM2.5) samples were obtained at Harbin Institute of Technology (HIT) in Harbin, China. This study provided the first description, source apportionment, and health risk for PM2.5-bound 16 PAHs and 16 nitrated PAHs (NPAHs) in cold regions of China. On average, the PM2.5, PM2.5-bound PAHs and NPAHs concentrations were 80.8 μg/m3, 86.9 ng/m³ and 5.48 ng/m³. Significant increases in PM2.5 (274 μg/m³) and PM2.5-bound NPAHs (24.7 ng/m³) concentrations were measured during the straw burning in autumn, while the concentration of PM2.5-bound PAHs (215 ng/m³) increased obviously in winter. Source apportionment showed that the main source of PAHs was combustion, while besides direct emissions, about 20% of NPAHs came from the secondary formation. Controlling coal combustion and biomass burning might be an effective measure to improve air quality during the heating period in Harbin. The influence of meteorological conditions on PAHs and NPAHs concentration indicated that pollutants were more susceptible to meteorological conditions during the heating period than during the non-heating period, especially for PAHs. The health risk analysis indicated that the highest health risk caused by exposure to the PM2.5-bound PAHs and NPAHs was in winter, and this was inconsistent with the trend of PM2.5 pollution. Cancer risk assessments demonstrated the potential cancer risk at this PAHs and NPAHs concentration level.","container-title":"Journal of Cleaner Production","DOI":"10.1016/j.jclepro.2020.121673","ISSN":"0959-6526","journalAbbreviation":"Journal of Cleaner Production","page":"121673","source":"ScienceDirect","title":"Characterization, sources and risk assessment of PM2.5-bound polycyclic aromatic hydrocarbons (PAHs) and nitrated PAHs (NPAHs) in Harbin, a cold city in Northern China","volume":"264","author":[{"family":"Ma","given":"Lixin"},{"family":"Li","given":"Bo"},{"family":"Liu","given":"Yuping"},{"family":"Sun","given":"Xiazhong"},{"family":"Fu","given":"Donglei"},{"family":"Sun","given":"Shaojing"},{"family":"Thapa","given":"Samit"},{"family":"Geng","given":"Jialu"},{"family":"Qi","given":"Hong"},{"family":"Zhang","given":"Anping"},{"family":"Tian","given":"Chongguo"}],"issued":{"date-parts":[["2020",8,10]]}}}],"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[57]</w:t>
            </w:r>
            <w:r w:rsidRPr="00C9504C">
              <w:rPr>
                <w:rFonts w:ascii="Arial" w:hAnsi="Arial" w:cs="Arial"/>
                <w:sz w:val="20"/>
                <w:szCs w:val="20"/>
              </w:rPr>
              <w:fldChar w:fldCharType="end"/>
            </w:r>
          </w:p>
        </w:tc>
      </w:tr>
      <w:tr w:rsidR="006751F9" w:rsidRPr="00AE1E24" w14:paraId="6687F849" w14:textId="77777777" w:rsidTr="00420FF2">
        <w:trPr>
          <w:trHeight w:val="300"/>
          <w:jc w:val="center"/>
        </w:trPr>
        <w:tc>
          <w:tcPr>
            <w:tcW w:w="737" w:type="dxa"/>
            <w:shd w:val="clear" w:color="auto" w:fill="auto"/>
            <w:noWrap/>
          </w:tcPr>
          <w:p w14:paraId="0774AE3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11</w:t>
            </w:r>
            <w:r w:rsidRPr="00C9504C">
              <w:rPr>
                <w:rFonts w:ascii="Arial" w:hAnsi="Arial" w:cs="Arial"/>
                <w:sz w:val="20"/>
                <w:szCs w:val="20"/>
                <w:lang w:val="en-US"/>
              </w:rPr>
              <w:t>– PM</w:t>
            </w:r>
            <w:r w:rsidRPr="00C9504C">
              <w:rPr>
                <w:rFonts w:ascii="Arial" w:hAnsi="Arial" w:cs="Arial"/>
                <w:sz w:val="20"/>
                <w:szCs w:val="20"/>
                <w:vertAlign w:val="subscript"/>
                <w:lang w:val="en-US"/>
              </w:rPr>
              <w:t>0.54</w:t>
            </w:r>
          </w:p>
        </w:tc>
        <w:tc>
          <w:tcPr>
            <w:tcW w:w="1417" w:type="dxa"/>
            <w:shd w:val="clear" w:color="auto" w:fill="auto"/>
            <w:noWrap/>
          </w:tcPr>
          <w:p w14:paraId="224C8AA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Turin, Italy</w:t>
            </w:r>
          </w:p>
        </w:tc>
        <w:tc>
          <w:tcPr>
            <w:tcW w:w="1191" w:type="dxa"/>
            <w:shd w:val="clear" w:color="auto" w:fill="auto"/>
            <w:noWrap/>
          </w:tcPr>
          <w:p w14:paraId="6D7059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A378FF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Autumn 2011–Winter 2012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109B356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2D5D54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28.3 L min</w:t>
            </w:r>
            <w:r w:rsidRPr="00C9504C">
              <w:rPr>
                <w:rFonts w:ascii="Arial" w:hAnsi="Arial" w:cs="Arial"/>
                <w:sz w:val="20"/>
                <w:szCs w:val="20"/>
                <w:vertAlign w:val="superscript"/>
                <w:lang w:val="en-US"/>
              </w:rPr>
              <w:t>−1</w:t>
            </w:r>
          </w:p>
        </w:tc>
        <w:tc>
          <w:tcPr>
            <w:tcW w:w="794" w:type="dxa"/>
            <w:shd w:val="clear" w:color="auto" w:fill="auto"/>
            <w:noWrap/>
          </w:tcPr>
          <w:p w14:paraId="7084DA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33B90F6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5D8FB2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SF-ICP-MS</w:t>
            </w:r>
          </w:p>
        </w:tc>
        <w:tc>
          <w:tcPr>
            <w:tcW w:w="1134" w:type="dxa"/>
            <w:shd w:val="clear" w:color="auto" w:fill="auto"/>
            <w:noWrap/>
          </w:tcPr>
          <w:p w14:paraId="6CC7CBF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w:t>
            </w:r>
            <w:r w:rsidRPr="00C9504C">
              <w:rPr>
                <w:rFonts w:ascii="Arial" w:hAnsi="Arial" w:cs="Arial"/>
                <w:sz w:val="20"/>
                <w:szCs w:val="20"/>
                <w:vertAlign w:val="subscript"/>
                <w:lang w:val="en-US"/>
              </w:rPr>
              <w:t>2</w:t>
            </w:r>
            <w:r w:rsidRPr="00C9504C">
              <w:rPr>
                <w:rFonts w:ascii="Arial" w:hAnsi="Arial" w:cs="Arial"/>
                <w:sz w:val="20"/>
                <w:szCs w:val="20"/>
                <w:lang w:val="en-US"/>
              </w:rPr>
              <w:t>O</w:t>
            </w:r>
            <w:r w:rsidRPr="00C9504C">
              <w:rPr>
                <w:rFonts w:ascii="Arial" w:hAnsi="Arial" w:cs="Arial"/>
                <w:sz w:val="20"/>
                <w:szCs w:val="20"/>
                <w:vertAlign w:val="subscript"/>
                <w:lang w:val="en-US"/>
              </w:rPr>
              <w:t>2</w:t>
            </w:r>
          </w:p>
        </w:tc>
        <w:tc>
          <w:tcPr>
            <w:tcW w:w="1077" w:type="dxa"/>
            <w:shd w:val="clear" w:color="auto" w:fill="auto"/>
            <w:noWrap/>
          </w:tcPr>
          <w:p w14:paraId="47E92A2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57042A5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85</w:t>
            </w:r>
            <w:r w:rsidRPr="0085132E">
              <w:rPr>
                <w:rFonts w:ascii="Arial" w:hAnsi="Arial" w:cs="Arial"/>
                <w:color w:val="000000" w:themeColor="text1"/>
                <w:sz w:val="20"/>
                <w:szCs w:val="20"/>
                <w:lang w:val="en-US"/>
              </w:rPr>
              <w:t>%</w:t>
            </w:r>
            <w:r w:rsidRPr="00C9504C">
              <w:rPr>
                <w:rFonts w:ascii="Arial" w:hAnsi="Arial" w:cs="Arial"/>
                <w:sz w:val="20"/>
                <w:szCs w:val="20"/>
                <w:lang w:val="en-US"/>
              </w:rPr>
              <w:t>−115%</w:t>
            </w:r>
          </w:p>
          <w:p w14:paraId="55D9EAB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240EE3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&lt;5%</w:t>
            </w:r>
          </w:p>
          <w:p w14:paraId="6A3D377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Acc.:</w:t>
            </w:r>
          </w:p>
          <w:p w14:paraId="4986EC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&lt;15%</w:t>
            </w:r>
          </w:p>
        </w:tc>
        <w:tc>
          <w:tcPr>
            <w:tcW w:w="907" w:type="dxa"/>
          </w:tcPr>
          <w:p w14:paraId="5833D95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NIST SRM 1648a</w:t>
            </w:r>
          </w:p>
        </w:tc>
        <w:tc>
          <w:tcPr>
            <w:tcW w:w="1247" w:type="dxa"/>
          </w:tcPr>
          <w:p w14:paraId="58257C3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EF, PCA</w:t>
            </w:r>
          </w:p>
        </w:tc>
        <w:tc>
          <w:tcPr>
            <w:tcW w:w="907" w:type="dxa"/>
          </w:tcPr>
          <w:p w14:paraId="311AA7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{"citationID":"JGfIPfXJ","properties":{"formattedCitation":"(58)","plainCitation":"(58)","dontUpdate":true,"noteIndex":0},"citationItems":[{"id":1052,"uris":["http://zotero.org/users/12446040/items/M66WCEXY"],"itemData":{"id":1052,"type":"article-journal","abstract":"A work on the characterization of the air quality in the city of Turin was carried out in different sampling periods, reflecting early autumn and winter conditions, including a snow episode during the early 2012 European cold wave. The concentrations of 13 elements in eight size fractions of the aerosol were determined using inductively coupled plasma-mass spectrometry. The collection was carried out with a Andersen MkII cascade impactor. The size distribution of elements allowed the identification of three main behavioural types: (a) elements associated with coarse particles (Cd, Cr, Cu, Fe, Mn, Mo and Sn); (b) elements found within fine particles (As, Co, Pb and V) and (c) elements spread throughout the entire size range (Ni and Zn). Principal Component Analysis allowed to examine the relationships between the inorganic elements and to infer about their origin. Chemometric investigation and assessment of similarity in the distribution led to similar conclusions on the sources. The concentration of gaseous trace pollutants (O3, NOx and VOCs) was determined. The concentrations of these pollutants are scarcely correlated with the metal contents of all the size classes of the PM. The differences found in the O3, NO2 and VOCs levels of the two winter campaigns due to the high photochemical reactivity in the period after the snow episode, do not reflect in differences in the metals distribution in the PM. Since PM metals, NOx and VOC have common sources, this behaviour is due to relevant differences in the transformation and deposition processes.","container-title":"Chemosphere","DOI":"10.1016/j.chemosphere.2015.12.089","ISSN":"0045-6535","journalAbbreviation":"Chemosphere","page":"477-489","source":"ScienceDirect","title":"Size resolved metal distribution in the PM matter of the city of Turin (Italy)","volume":"147","author":[{"family":"Malandrino","given":"Mery"},{"family":"Casazza","given":"Marco"},{"family":"Abollino","given":"Ornella"},{"family":"Minero","given":"Claudio"},{"family":"Maurino","given":"Valter"}],"issued":{"date-parts":[["2016",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[58]</w:t>
            </w:r>
            <w:r w:rsidRPr="00C9504C">
              <w:rPr>
                <w:rFonts w:ascii="Arial" w:hAnsi="Arial" w:cs="Arial"/>
                <w:sz w:val="20"/>
                <w:szCs w:val="20"/>
              </w:rPr>
              <w:fldChar w:fldCharType="end"/>
            </w:r>
          </w:p>
        </w:tc>
      </w:tr>
      <w:tr w:rsidR="006751F9" w:rsidRPr="00AE1E24" w14:paraId="5B2A2E81" w14:textId="77777777" w:rsidTr="00420FF2">
        <w:trPr>
          <w:trHeight w:val="300"/>
          <w:jc w:val="center"/>
        </w:trPr>
        <w:tc>
          <w:tcPr>
            <w:tcW w:w="737" w:type="dxa"/>
            <w:shd w:val="clear" w:color="auto" w:fill="auto"/>
            <w:noWrap/>
          </w:tcPr>
          <w:p w14:paraId="094D02C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6A715D1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Thessaloniki, Greece</w:t>
            </w:r>
          </w:p>
        </w:tc>
        <w:tc>
          <w:tcPr>
            <w:tcW w:w="1191" w:type="dxa"/>
            <w:shd w:val="clear" w:color="auto" w:fill="auto"/>
            <w:noWrap/>
          </w:tcPr>
          <w:p w14:paraId="1A0D4D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B6D2F3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Jul. 2011–Mar. 2012 (40)</w:t>
            </w:r>
          </w:p>
        </w:tc>
        <w:tc>
          <w:tcPr>
            <w:tcW w:w="1134" w:type="dxa"/>
            <w:shd w:val="clear" w:color="auto" w:fill="auto"/>
            <w:noWrap/>
          </w:tcPr>
          <w:p w14:paraId="76B8669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1B443E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2424E63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369F7E8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1FC5D8A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HPLC/FLD</w:t>
            </w:r>
          </w:p>
        </w:tc>
        <w:tc>
          <w:tcPr>
            <w:tcW w:w="1134" w:type="dxa"/>
            <w:shd w:val="clear" w:color="auto" w:fill="auto"/>
            <w:noWrap/>
          </w:tcPr>
          <w:p w14:paraId="0414A5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DCM, Hx</w:t>
            </w:r>
          </w:p>
        </w:tc>
        <w:tc>
          <w:tcPr>
            <w:tcW w:w="1077" w:type="dxa"/>
            <w:shd w:val="clear" w:color="auto" w:fill="auto"/>
            <w:noWrap/>
          </w:tcPr>
          <w:p w14:paraId="2723D99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255FAB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87</w:t>
            </w:r>
            <w:r w:rsidRPr="0085132E">
              <w:rPr>
                <w:rFonts w:ascii="Arial" w:hAnsi="Arial" w:cs="Arial"/>
                <w:color w:val="000000" w:themeColor="text1"/>
                <w:sz w:val="20"/>
                <w:szCs w:val="20"/>
                <w:lang w:val="en-US"/>
              </w:rPr>
              <w:t>%</w:t>
            </w:r>
            <w:r w:rsidRPr="00C9504C">
              <w:rPr>
                <w:rFonts w:ascii="Arial" w:hAnsi="Arial" w:cs="Arial"/>
                <w:sz w:val="20"/>
                <w:szCs w:val="20"/>
                <w:lang w:val="en-US"/>
              </w:rPr>
              <w:t>−108%</w:t>
            </w:r>
          </w:p>
          <w:p w14:paraId="6253B22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Prec.:</w:t>
            </w:r>
          </w:p>
          <w:p w14:paraId="3FE5B90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&lt;10%</w:t>
            </w:r>
          </w:p>
        </w:tc>
        <w:tc>
          <w:tcPr>
            <w:tcW w:w="907" w:type="dxa"/>
          </w:tcPr>
          <w:p w14:paraId="6AF883A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1647c</w:t>
            </w:r>
          </w:p>
        </w:tc>
        <w:tc>
          <w:tcPr>
            <w:tcW w:w="1247" w:type="dxa"/>
          </w:tcPr>
          <w:p w14:paraId="5AE09C40"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CMB, PMF</w:t>
            </w:r>
          </w:p>
        </w:tc>
        <w:tc>
          <w:tcPr>
            <w:tcW w:w="907" w:type="dxa"/>
          </w:tcPr>
          <w:p w14:paraId="75D72E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{"citationID":"BfQN0dKk","properties":{"formattedCitation":"(59)","plainCitation":"(59)","dontUpdate":true,"noteIndex":0},"citationItems":[{"id":1103,"uris":["http://zotero.org/users/12446040/items/PZ2A2NSE"],"itemData":{"id":1103,"type":"article-journal","abstract":"Thirteen particle-phase PAHs, including nine &gt;4-ring congeners [Benz[a]anthracene (BaAn), Chrysene (Chry), Benzo[b]fluoranthene (BbF), Benzo[k]fluoranthene (BkF), Benzo[e]pyrene (BeP), Benzo[a]pyrene (BaP), Dibenzo[a,h]anthracene (dBaAn), Benzo[g,h,i]perylene (BghiPe), Indeno(1,2,3-c,d)pyrene (IP)], listed by IARC (International Agency for Research on Cancer) as class 1, class 2A, and 2B carcinogens, plus four ≤4-ring congeners [Phenanthrene (Ph), Anthracene (An), Fluoranthene (Fl), Pyrene (Py)], were concurrently measured in inhalable and respirable particle fractions (PM10 and PM2.5) at a heavy-traffic and an urban background site in Thessaloniki, northern Greece, during the warm and the cold period of the year. Carcinogenic and mutagenic potencies of the PAH-bearing particles were calculated, and the inhalation cancer risk (ICR) for local population was estimated. Finally, Chemical Mass Balance (CMB) modeling was employed for the source apportionment of ambient PAH levels and the estimated lung cancer risk. Resulted inhalation cancer risk during winter was found to be equivalent in the city center and the urban background area suggesting that residential wood burning may offset the benefits from minor traffic emissions.","container-title":"Environmental Science and Pollution Research","DOI":"10.1007/s11356-015-5573-5","ISSN":"1614-7499","issue":"4","journalAbbreviation":"Environ Sci Pollut Res","language":"en","page":"3556-3568","source":"Springer Link","title":"Polycyclic aromatic hydrocarbons (PAHs) at traffic and urban background sites of northern Greece: source apportionment of ambient PAH levels and PAH-induced lung cancer risk","title-short":"Polycyclic aromatic hydrocarbons (PAHs) at traffic and urban background sites of northern Greece","volume":"23","author":[{"family":"Manoli","given":"Evangelia"},{"family":"Kouras","given":"Athanasios"},{"family":"Karagkiozidou","given":"Olga"},{"family":"Argyropoulos","given":"Georgios"},{"family":"Voutsa","given":"Dimitra"},{"family":"Samara","given":"Constantini"}],"issued":{"date-parts":[["2016",2,1]]}},"locator":"201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[59]</w:t>
            </w:r>
            <w:r w:rsidRPr="00C9504C">
              <w:rPr>
                <w:rFonts w:ascii="Arial" w:hAnsi="Arial" w:cs="Arial"/>
                <w:sz w:val="20"/>
                <w:szCs w:val="20"/>
              </w:rPr>
              <w:fldChar w:fldCharType="end"/>
            </w:r>
          </w:p>
        </w:tc>
      </w:tr>
      <w:tr w:rsidR="006751F9" w:rsidRPr="00AE1E24" w14:paraId="2A5F7267" w14:textId="77777777" w:rsidTr="00420FF2">
        <w:trPr>
          <w:trHeight w:val="300"/>
          <w:jc w:val="center"/>
        </w:trPr>
        <w:tc>
          <w:tcPr>
            <w:tcW w:w="737" w:type="dxa"/>
            <w:shd w:val="clear" w:color="auto" w:fill="auto"/>
            <w:noWrap/>
          </w:tcPr>
          <w:p w14:paraId="7C46FD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4A6F74A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Rome, Italy</w:t>
            </w:r>
          </w:p>
        </w:tc>
        <w:tc>
          <w:tcPr>
            <w:tcW w:w="1191" w:type="dxa"/>
            <w:shd w:val="clear" w:color="auto" w:fill="auto"/>
            <w:noWrap/>
          </w:tcPr>
          <w:p w14:paraId="30DAAE7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5064D55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Jul. 2013–Feb. 2014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475A367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MVS</w:t>
            </w:r>
          </w:p>
        </w:tc>
        <w:tc>
          <w:tcPr>
            <w:tcW w:w="737" w:type="dxa"/>
            <w:shd w:val="clear" w:color="auto" w:fill="auto"/>
            <w:noWrap/>
          </w:tcPr>
          <w:p w14:paraId="6AE8395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69ED7F3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 QFF</w:t>
            </w:r>
          </w:p>
        </w:tc>
        <w:tc>
          <w:tcPr>
            <w:tcW w:w="1191" w:type="dxa"/>
            <w:shd w:val="clear" w:color="auto" w:fill="auto"/>
            <w:noWrap/>
          </w:tcPr>
          <w:p w14:paraId="573690D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635F477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 ICP-OES</w:t>
            </w:r>
          </w:p>
        </w:tc>
        <w:tc>
          <w:tcPr>
            <w:tcW w:w="1134" w:type="dxa"/>
            <w:shd w:val="clear" w:color="auto" w:fill="auto"/>
            <w:noWrap/>
          </w:tcPr>
          <w:p w14:paraId="5946A03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w:t>
            </w:r>
            <w:r w:rsidRPr="00C9504C">
              <w:rPr>
                <w:rFonts w:ascii="Arial" w:hAnsi="Arial" w:cs="Arial"/>
                <w:sz w:val="20"/>
                <w:szCs w:val="20"/>
                <w:vertAlign w:val="subscript"/>
                <w:lang w:val="en-US"/>
              </w:rPr>
              <w:t>2</w:t>
            </w:r>
            <w:r w:rsidRPr="00C9504C">
              <w:rPr>
                <w:rFonts w:ascii="Arial" w:hAnsi="Arial" w:cs="Arial"/>
                <w:sz w:val="20"/>
                <w:szCs w:val="20"/>
                <w:lang w:val="en-US"/>
              </w:rPr>
              <w:t>O</w:t>
            </w:r>
            <w:r w:rsidRPr="00C9504C">
              <w:rPr>
                <w:rFonts w:ascii="Arial" w:hAnsi="Arial" w:cs="Arial"/>
                <w:sz w:val="20"/>
                <w:szCs w:val="20"/>
                <w:vertAlign w:val="subscript"/>
                <w:lang w:val="en-US"/>
              </w:rPr>
              <w:t>2</w:t>
            </w:r>
          </w:p>
        </w:tc>
        <w:tc>
          <w:tcPr>
            <w:tcW w:w="1077" w:type="dxa"/>
            <w:shd w:val="clear" w:color="auto" w:fill="auto"/>
            <w:noWrap/>
          </w:tcPr>
          <w:p w14:paraId="057E1A7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51CA9DC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88</w:t>
            </w:r>
            <w:r w:rsidRPr="0085132E">
              <w:rPr>
                <w:rFonts w:ascii="Arial" w:hAnsi="Arial" w:cs="Arial"/>
                <w:color w:val="000000" w:themeColor="text1"/>
                <w:sz w:val="20"/>
                <w:szCs w:val="20"/>
                <w:lang w:val="en-US"/>
              </w:rPr>
              <w:t>%</w:t>
            </w:r>
            <w:r w:rsidRPr="00C9504C">
              <w:rPr>
                <w:rFonts w:ascii="Arial" w:hAnsi="Arial" w:cs="Arial"/>
                <w:sz w:val="20"/>
                <w:szCs w:val="20"/>
                <w:lang w:val="en-US"/>
              </w:rPr>
              <w:t xml:space="preserve">−98% </w:t>
            </w:r>
          </w:p>
        </w:tc>
        <w:tc>
          <w:tcPr>
            <w:tcW w:w="907" w:type="dxa"/>
          </w:tcPr>
          <w:p w14:paraId="6512AA0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1648a</w:t>
            </w:r>
          </w:p>
        </w:tc>
        <w:tc>
          <w:tcPr>
            <w:tcW w:w="1247" w:type="dxa"/>
          </w:tcPr>
          <w:p w14:paraId="1811181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62D5425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{"citationID":"eJDEIYGf","properties":{"formattedCitation":"(60)","plainCitation":"(60)","dontUpdate":true,"noteIndex":0},"citationItems":[{"id":1087,"uris":["http://zotero.org/users/12446040/items/9EJUAGDM"],"itemData":{"id":1087,"type":"article-journal","abstract":"To clarify the relationship between airborne particulate exposure and negative impacts on human health, focusing on the heavy metal content alone might not be sufficient. To address this issue, in the present work, mineral allocation and leaching behavior of heavy metals in the PM2.5 were investigated. This work, therefore, provides a novel perspective in the field of urban airborne particle investigation that is not currently found in the literature. Four sampling campaigns were performed in the urban area of Rome (Central Italy) during the winter and summer seasons (February and July 2013 and 2014, respectively). The measured concentrations of the regulated elements of As, Cd, Ni and Pb were consistent with those reported by the local Environmental Agency (ARPA Lazio), but non-regulated heavy metals, including Fe, Cu, Cr and Zn, were also found in PM2.5 and analyzed in detail. As a novelty, heavy metals were associated with the host-identified mineral phases, primarily oxides and alloys, and to a lesser extent, other minerals, such as sulfates, carbonates and silicates. Leaching tests of the collected samples were conducted in a buffered solution mimicking the bodily physiological environment. Despite the highest concentration of heavy metals found during the winter sampling period, all of the elements showed a leaching trend leading to major mobility during the summer period. To explain this result, an interesting comparative analysis between the leaching test behavior and innovative mineral allocation was conducted. Both the heavy metal content and mineral allocation in PM2.5 might contribute to the bioavailability of toxic elements in the pulmonary environment. Hence, for regulatory purposes, the non-linear dependency of heavy metal bioavailability on the total metal content should be taken into account.","container-title":"Atmospheric Environment","DOI":"10.1016/j.atmosenv.2017.01.009","ISSN":"1352-2310","journalAbbreviation":"Atmospheric Environment","page":"47-60","source":"ScienceDirect","title":"Content, mineral allocation and leaching behavior of heavy metals in urban PM2.5","volume":"153","author":[{"family":"Mazziotti Tagliani","given":"Simona"},{"family":"Carnevale","given":"Monica"},{"family":"Armiento","given":"Giovanna"},{"family":"Montereali","given":"Maria Rita"},{"family":"Nardi","given":"Elisa"},{"family":"Inglessis","given":"Marco"},{"family":"Sacco","given":"Fabrizio"},{"family":"Palleschi","given":"Simonetta"},{"family":"Rossi","given":"Barbara"},{"family":"Silvestroni","given":"Leopoldo"},{"family":"Gianfagna","given":"Antonio"}],"issued":{"date-parts":[["2017",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[60]</w:t>
            </w:r>
            <w:r w:rsidRPr="00C9504C">
              <w:rPr>
                <w:rFonts w:ascii="Arial" w:hAnsi="Arial" w:cs="Arial"/>
                <w:sz w:val="20"/>
                <w:szCs w:val="20"/>
              </w:rPr>
              <w:fldChar w:fldCharType="end"/>
            </w:r>
          </w:p>
        </w:tc>
      </w:tr>
      <w:tr w:rsidR="006751F9" w:rsidRPr="00AE1E24" w14:paraId="1A59A18B" w14:textId="77777777" w:rsidTr="00420FF2">
        <w:trPr>
          <w:trHeight w:val="300"/>
          <w:jc w:val="center"/>
        </w:trPr>
        <w:tc>
          <w:tcPr>
            <w:tcW w:w="737" w:type="dxa"/>
            <w:shd w:val="clear" w:color="auto" w:fill="auto"/>
            <w:noWrap/>
          </w:tcPr>
          <w:p w14:paraId="2AB4AEF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–PM</w:t>
            </w:r>
            <w:r w:rsidRPr="00C9504C">
              <w:rPr>
                <w:rFonts w:ascii="Arial" w:hAnsi="Arial" w:cs="Arial"/>
                <w:sz w:val="20"/>
                <w:szCs w:val="20"/>
                <w:vertAlign w:val="subscript"/>
                <w:lang w:val="en-US"/>
              </w:rPr>
              <w:t>0.03</w:t>
            </w:r>
          </w:p>
        </w:tc>
        <w:tc>
          <w:tcPr>
            <w:tcW w:w="1417" w:type="dxa"/>
            <w:shd w:val="clear" w:color="auto" w:fill="auto"/>
            <w:noWrap/>
          </w:tcPr>
          <w:p w14:paraId="70A9E404"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Dunkrik</w:t>
            </w:r>
            <w:proofErr w:type="spellEnd"/>
            <w:r w:rsidRPr="00C9504C">
              <w:rPr>
                <w:rFonts w:ascii="Arial" w:hAnsi="Arial" w:cs="Arial"/>
                <w:sz w:val="20"/>
                <w:szCs w:val="20"/>
                <w:lang w:val="en-US"/>
              </w:rPr>
              <w:t>, France</w:t>
            </w:r>
          </w:p>
        </w:tc>
        <w:tc>
          <w:tcPr>
            <w:tcW w:w="1191" w:type="dxa"/>
            <w:shd w:val="clear" w:color="auto" w:fill="auto"/>
            <w:noWrap/>
          </w:tcPr>
          <w:p w14:paraId="409D71E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7328705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2012–Feb. 2012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716A41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14617B9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L min</w:t>
            </w:r>
            <w:r w:rsidRPr="00C9504C">
              <w:rPr>
                <w:rFonts w:ascii="Arial" w:hAnsi="Arial" w:cs="Arial"/>
                <w:sz w:val="20"/>
                <w:szCs w:val="20"/>
                <w:vertAlign w:val="superscript"/>
                <w:lang w:val="en-US"/>
              </w:rPr>
              <w:t>−1</w:t>
            </w:r>
          </w:p>
        </w:tc>
        <w:tc>
          <w:tcPr>
            <w:tcW w:w="794" w:type="dxa"/>
            <w:shd w:val="clear" w:color="auto" w:fill="auto"/>
            <w:noWrap/>
          </w:tcPr>
          <w:p w14:paraId="7ACF20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PF</w:t>
            </w:r>
          </w:p>
        </w:tc>
        <w:tc>
          <w:tcPr>
            <w:tcW w:w="1191" w:type="dxa"/>
            <w:shd w:val="clear" w:color="auto" w:fill="auto"/>
            <w:noWrap/>
          </w:tcPr>
          <w:p w14:paraId="772672D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191110E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ICP-OES, ICP-MS</w:t>
            </w:r>
          </w:p>
        </w:tc>
        <w:tc>
          <w:tcPr>
            <w:tcW w:w="1134" w:type="dxa"/>
            <w:shd w:val="clear" w:color="auto" w:fill="auto"/>
            <w:noWrap/>
          </w:tcPr>
          <w:p w14:paraId="3EC2439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HF, H</w:t>
            </w:r>
            <w:r w:rsidRPr="00C9504C">
              <w:rPr>
                <w:rFonts w:ascii="Arial" w:hAnsi="Arial" w:cs="Arial"/>
                <w:sz w:val="20"/>
                <w:szCs w:val="20"/>
                <w:vertAlign w:val="subscript"/>
                <w:lang w:val="en-US"/>
              </w:rPr>
              <w:t>2</w:t>
            </w:r>
            <w:r w:rsidRPr="00C9504C">
              <w:rPr>
                <w:rFonts w:ascii="Arial" w:hAnsi="Arial" w:cs="Arial"/>
                <w:sz w:val="20"/>
                <w:szCs w:val="20"/>
                <w:lang w:val="en-US"/>
              </w:rPr>
              <w:t>O</w:t>
            </w:r>
            <w:r w:rsidRPr="00C9504C">
              <w:rPr>
                <w:rFonts w:ascii="Arial" w:hAnsi="Arial" w:cs="Arial"/>
                <w:sz w:val="20"/>
                <w:szCs w:val="20"/>
                <w:vertAlign w:val="subscript"/>
                <w:lang w:val="en-US"/>
              </w:rPr>
              <w:t>2</w:t>
            </w:r>
          </w:p>
        </w:tc>
        <w:tc>
          <w:tcPr>
            <w:tcW w:w="1077" w:type="dxa"/>
            <w:shd w:val="clear" w:color="auto" w:fill="auto"/>
            <w:noWrap/>
          </w:tcPr>
          <w:p w14:paraId="3DA6B6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3FAFF4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100±15%</w:t>
            </w:r>
          </w:p>
        </w:tc>
        <w:tc>
          <w:tcPr>
            <w:tcW w:w="907" w:type="dxa"/>
          </w:tcPr>
          <w:p w14:paraId="5C3CA70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1648a</w:t>
            </w:r>
          </w:p>
        </w:tc>
        <w:tc>
          <w:tcPr>
            <w:tcW w:w="1247" w:type="dxa"/>
          </w:tcPr>
          <w:p w14:paraId="1DE0D56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EF</w:t>
            </w:r>
          </w:p>
        </w:tc>
        <w:tc>
          <w:tcPr>
            <w:tcW w:w="907" w:type="dxa"/>
          </w:tcPr>
          <w:p w14:paraId="556838D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D5M4Jm6b","properties":{"formattedCitation":"(61)","plainCitation":"(61)","dontUpdate":true,"noteIndex":0},"citationItems":[{"id":"HbwwkMxO/T4At0ENW","uris":["http://zotero.org/users/12446040/items/EDM39WF4"],"itemData":{"id":468,"type":"article-journal","abstract":"To determine the size distribution of potentially toxic trace metals (TM) in atmospheric particulate matter (PM), sampling experiments were performed in the urban–industrial area of Dunkirk (North of France) during winter 2012. Total mass concentrations are in accordance with typical values obtained at European urban background sites but lower than the concentrations reported for some Asian industrial countries. Considering the local wind directions, mass concentrations are higher downwind of urban influences than downwind of industrial emissions. The mean PM10 mass concentration (25–30μg/m3) is less than the European Union and US EPA limit values (40–50μg/m3) but greater than the WHO guidelines (20μg/m3). The calculated TM crustal enrichment factors (EFCrust) suggest the anthropogenic origins of most of the studied TM (Sb, Cd, As, Mo, Pb, Zn, Cu, Ni, Cr, Mn and V). The highest TM concentrations were obtained for Zn and Mn (&gt;50ng/m3) under industrial influence, but the finest particle (&lt; 0.29 μm) concentrations were higher for the urban sector than for the industrial sector. This enrichment may be attributed to local urban traffic. In contrast, trace metals are more abundant in the coarser fraction (&gt; 0.29 μm) downwind of industrial emissions. Moreover, mechanical operations associated with industrial processes (excavating, crushing, and sintering), as well as the resuspension of industrial soils, likely represent some significant TM source-terms in the supermicronic fraction. The EFCrust comparison between the two prevailing sectors demonstrates the importance of steelworks and smelting emissions in the abundance of some TM (As, Cd, Fe, Mn, Mo, Pb, Rb and Zn). In contrast, the Cr and Co concentrations seem to be more related to coal combustion emissions, Cu and Sb to automotive traffic, and V, La and Ni to petrochemical activities.","container-title":"Atmospheric Research","DOI":"10.1016/j.atmosres.2013.08.010","ISSN":"0169-8095","journalAbbreviation":"Atmospheric Research","page":"35-47","source":"ScienceDirect","title":"Size-distributed metallic elements in submicronic and ultrafine atmospheric particles from urban and industrial areas in northern France","volume":"135-136","author":[{"family":"Mbengue","given":"Saliou"},{"family":"Alleman","given":"Laurent Y."},{"family":"Flament","given":"Pascal"}],"issued":{"date-parts":[["2014",1,1]]}}}],"schema":"https://github.com/citation-style-language/schema/raw/master/csl-citation.json"}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[61]</w:t>
            </w:r>
            <w:r w:rsidRPr="00C9504C">
              <w:rPr>
                <w:rFonts w:ascii="Arial" w:hAnsi="Arial" w:cs="Arial"/>
                <w:sz w:val="20"/>
                <w:szCs w:val="20"/>
              </w:rPr>
              <w:fldChar w:fldCharType="end"/>
            </w:r>
          </w:p>
        </w:tc>
      </w:tr>
      <w:tr w:rsidR="006751F9" w:rsidRPr="00AE1E24" w14:paraId="3274DF80" w14:textId="77777777" w:rsidTr="00420FF2">
        <w:trPr>
          <w:trHeight w:val="300"/>
          <w:jc w:val="center"/>
        </w:trPr>
        <w:tc>
          <w:tcPr>
            <w:tcW w:w="737" w:type="dxa"/>
            <w:shd w:val="clear" w:color="auto" w:fill="auto"/>
            <w:noWrap/>
          </w:tcPr>
          <w:p w14:paraId="7B971A9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6EE550C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Gijon, Spain</w:t>
            </w:r>
          </w:p>
        </w:tc>
        <w:tc>
          <w:tcPr>
            <w:tcW w:w="1191" w:type="dxa"/>
            <w:shd w:val="clear" w:color="auto" w:fill="auto"/>
            <w:noWrap/>
          </w:tcPr>
          <w:p w14:paraId="6E57D3D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3A67470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Jul. 2014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271BF87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77178D7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5D9A52A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 QFF</w:t>
            </w:r>
          </w:p>
        </w:tc>
        <w:tc>
          <w:tcPr>
            <w:tcW w:w="1191" w:type="dxa"/>
            <w:shd w:val="clear" w:color="auto" w:fill="auto"/>
            <w:noWrap/>
          </w:tcPr>
          <w:p w14:paraId="04620E2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40C622E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0C35898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HF, HNO</w:t>
            </w:r>
            <w:r w:rsidRPr="00C9504C">
              <w:rPr>
                <w:rFonts w:ascii="Arial" w:hAnsi="Arial" w:cs="Arial"/>
                <w:sz w:val="20"/>
                <w:szCs w:val="20"/>
                <w:vertAlign w:val="subscript"/>
                <w:lang w:val="en-US"/>
              </w:rPr>
              <w:t>3</w:t>
            </w:r>
            <w:r w:rsidRPr="00C9504C">
              <w:rPr>
                <w:rFonts w:ascii="Arial" w:hAnsi="Arial" w:cs="Arial"/>
                <w:sz w:val="20"/>
                <w:szCs w:val="20"/>
                <w:lang w:val="en-US"/>
              </w:rPr>
              <w:t>, HClO</w:t>
            </w:r>
            <w:r w:rsidRPr="00C9504C">
              <w:rPr>
                <w:rFonts w:ascii="Arial" w:hAnsi="Arial" w:cs="Arial"/>
                <w:sz w:val="20"/>
                <w:szCs w:val="20"/>
                <w:vertAlign w:val="subscript"/>
                <w:lang w:val="en-US"/>
              </w:rPr>
              <w:t>4</w:t>
            </w:r>
          </w:p>
        </w:tc>
        <w:tc>
          <w:tcPr>
            <w:tcW w:w="1077" w:type="dxa"/>
            <w:shd w:val="clear" w:color="auto" w:fill="auto"/>
            <w:noWrap/>
          </w:tcPr>
          <w:p w14:paraId="7CE9CDD1"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Er</w:t>
            </w:r>
            <w:proofErr w:type="spellEnd"/>
            <w:r w:rsidRPr="00C9504C">
              <w:rPr>
                <w:rFonts w:ascii="Arial" w:hAnsi="Arial" w:cs="Arial"/>
                <w:sz w:val="20"/>
                <w:szCs w:val="20"/>
                <w:lang w:val="en-US"/>
              </w:rPr>
              <w:t>.:</w:t>
            </w:r>
          </w:p>
          <w:p w14:paraId="3089B99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&lt;10%</w:t>
            </w:r>
          </w:p>
        </w:tc>
        <w:tc>
          <w:tcPr>
            <w:tcW w:w="907" w:type="dxa"/>
          </w:tcPr>
          <w:p w14:paraId="2EA1E10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1648a</w:t>
            </w:r>
          </w:p>
        </w:tc>
        <w:tc>
          <w:tcPr>
            <w:tcW w:w="1247" w:type="dxa"/>
          </w:tcPr>
          <w:p w14:paraId="13417C3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BTA</w:t>
            </w:r>
          </w:p>
        </w:tc>
        <w:tc>
          <w:tcPr>
            <w:tcW w:w="907" w:type="dxa"/>
          </w:tcPr>
          <w:p w14:paraId="524815B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{"citationID":"8Szw2ZF1","properties":{"formattedCitation":"(62)","plainCitation":"(62)","dontUpdate":true,"noteIndex":0},"citationItems":[{"id":1190,"uris":["http://zotero.org/users/12446040/items/Q5ZSWCAE"],"itemData":{"id":1190,"type":"article-journal","abstract":"PM10 and black smoke were monitored at a suburban sampling station located in the northern Spanish city of Gijón. Thirty-two metals and total carbon (TC) (i.e., organic carbon (OC) and elemental carbon (EC)) were analyzed over a year. The study of air-mass origin based on 5-day back trajectories was carried out to assess its influence on the recovery data. Different strategies were implemented to infer the influence of traffic in the area. On average, TC accounted for 29 % of the PM10 fraction, with OC forming 77 % of this TC. The influence of traffic was clearly reduced during intense Atlantic advection episodes, when OC and EC decreased up to 0.39 and 0.22 μg C/m3, respectively. In contrast, the highest values were reported during regional episodes, exceeding 10 μg C/m3 of OC and 2 μg C/m3 of EC. The correlation between EC and OC was found to notably improve when considering the days with high traffic flow (from R2 = 0.46 to R2 = 0.74). This pattern was also reproduced by black smoke and EC (from R2 = 0.49 to R2 = 0.59). Cu and Sn were found to be reliable traffic tracers given their high dependence on EC (R2 = 0.82 and R2 = 0.79, respectively). Nevertheless, Sn, Ba, and Sb showed a better correlation with Cu than EC, suggesting a common origin. In the case of Sn, R2 improved from 0.79 to 0.91. The Cu/Sb ratio had a mean value of 6.6 which agrees with diagnostic criterions for brake wear particles. The relationships and ratios between EC, Cu, Sb, Sn, Ba, and Bi pointed out to non-exhaust emissions, playing a significant role in the chemical composition of PM10. Brake wear was presented as the most likely origin for Cu, Sb, and Sn.","container-title":"Environmental Science and Pollution Research","DOI":"10.1007/s11356-015-5955-8","ISSN":"1614-7499","issue":"9","journalAbbreviation":"Environ Sci Pollut Res","language":"en","page":"8669-8678","source":"Springer Link","title":"Traffic tracers in a suburban location in northern Spain: relationship between carbonaceous fraction and metals","title-short":"Traffic tracers in a suburban location in northern Spain","volume":"23","author":[{"family":"Megido","given":"L."},{"family":"Negral","given":"L."},{"family":"Castrillón","given":"L."},{"family":"Marañón","given":"E."},{"family":"Fernández-Nava","given":"Y."},{"family":"Suárez-Peña","given":"B."}],"issued":{"date-parts":[["2016",5,1]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[62]</w:t>
            </w:r>
            <w:r w:rsidRPr="00C9504C">
              <w:rPr>
                <w:rFonts w:ascii="Arial" w:hAnsi="Arial" w:cs="Arial"/>
                <w:sz w:val="20"/>
                <w:szCs w:val="20"/>
              </w:rPr>
              <w:fldChar w:fldCharType="end"/>
            </w:r>
          </w:p>
        </w:tc>
      </w:tr>
      <w:tr w:rsidR="006751F9" w:rsidRPr="00AE1E24" w14:paraId="2E64C904" w14:textId="77777777" w:rsidTr="00420FF2">
        <w:trPr>
          <w:trHeight w:val="300"/>
          <w:jc w:val="center"/>
        </w:trPr>
        <w:tc>
          <w:tcPr>
            <w:tcW w:w="737" w:type="dxa"/>
            <w:shd w:val="clear" w:color="auto" w:fill="auto"/>
            <w:noWrap/>
          </w:tcPr>
          <w:p w14:paraId="48AEEDD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9E64D3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Ostrava-</w:t>
            </w:r>
            <w:proofErr w:type="spellStart"/>
            <w:r w:rsidRPr="00C9504C">
              <w:rPr>
                <w:rFonts w:ascii="Arial" w:hAnsi="Arial" w:cs="Arial"/>
                <w:sz w:val="20"/>
                <w:szCs w:val="20"/>
                <w:lang w:val="en-US"/>
              </w:rPr>
              <w:t>Radvanice</w:t>
            </w:r>
            <w:proofErr w:type="spellEnd"/>
            <w:r w:rsidRPr="00C9504C">
              <w:rPr>
                <w:rFonts w:ascii="Arial" w:hAnsi="Arial" w:cs="Arial"/>
                <w:sz w:val="20"/>
                <w:szCs w:val="20"/>
                <w:lang w:val="en-US"/>
              </w:rPr>
              <w:t>, Czech Republic</w:t>
            </w:r>
          </w:p>
        </w:tc>
        <w:tc>
          <w:tcPr>
            <w:tcW w:w="1191" w:type="dxa"/>
            <w:shd w:val="clear" w:color="auto" w:fill="auto"/>
            <w:noWrap/>
          </w:tcPr>
          <w:p w14:paraId="132DB64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GL</w:t>
            </w:r>
          </w:p>
        </w:tc>
        <w:tc>
          <w:tcPr>
            <w:tcW w:w="1134" w:type="dxa"/>
            <w:shd w:val="clear" w:color="auto" w:fill="auto"/>
            <w:noWrap/>
          </w:tcPr>
          <w:p w14:paraId="5BB5FC7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2012–Feb. 2012 (26)</w:t>
            </w:r>
          </w:p>
        </w:tc>
        <w:tc>
          <w:tcPr>
            <w:tcW w:w="1134" w:type="dxa"/>
            <w:shd w:val="clear" w:color="auto" w:fill="auto"/>
            <w:noWrap/>
          </w:tcPr>
          <w:p w14:paraId="6FA3FA3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00C2C94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4BB1672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FCF881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07A45A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471FAF6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 Hx</w:t>
            </w:r>
          </w:p>
        </w:tc>
        <w:tc>
          <w:tcPr>
            <w:tcW w:w="1077" w:type="dxa"/>
            <w:shd w:val="clear" w:color="auto" w:fill="auto"/>
            <w:noWrap/>
          </w:tcPr>
          <w:p w14:paraId="259957A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06C4ECA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66</w:t>
            </w:r>
            <w:r w:rsidRPr="0085132E">
              <w:rPr>
                <w:rFonts w:ascii="Arial" w:hAnsi="Arial" w:cs="Arial"/>
                <w:color w:val="000000" w:themeColor="text1"/>
                <w:sz w:val="20"/>
                <w:szCs w:val="20"/>
                <w:lang w:val="en-US"/>
              </w:rPr>
              <w:t>%</w:t>
            </w:r>
            <w:r w:rsidRPr="00C9504C">
              <w:rPr>
                <w:rFonts w:ascii="Arial" w:hAnsi="Arial" w:cs="Arial"/>
                <w:sz w:val="20"/>
                <w:szCs w:val="20"/>
                <w:lang w:val="en-US"/>
              </w:rPr>
              <w:t>−93%</w:t>
            </w:r>
          </w:p>
        </w:tc>
        <w:tc>
          <w:tcPr>
            <w:tcW w:w="907" w:type="dxa"/>
          </w:tcPr>
          <w:p w14:paraId="4BB7789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589B16D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BTA, DR</w:t>
            </w:r>
          </w:p>
        </w:tc>
        <w:tc>
          <w:tcPr>
            <w:tcW w:w="907" w:type="dxa"/>
          </w:tcPr>
          <w:p w14:paraId="50C847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{"citationID":"vEYkwT6y","properties":{"formattedCitation":"(63)","plainCitation":"(63)","dontUpdate":true,"noteIndex":0},"citationItems":[{"id":1162,"uris":["http://zotero.org/users/12446040/items/IITW63DP"],"itemData":{"id":1162,"type":"article-journal","abstract":"Urban aerosol particles in the fine fraction (PM2.5) were collected over the sampling interval of 24-hrs on quartz filters in Ostrava (Czech Republic) in winter 2012. The collected aerosols were analysed for selected organic compounds that serve as tracers of the main emission sources. The campaign was carried out under two different meteorological scenarios. During a smog episode due to high concentration of aerosols in the first part of the campaign, high concentrations of PM2.5 aerosols (mean concentration of 159 μg m−3) and PAHs bound to particles were found, while in the second part of the campaign, after the smog episode, much lower concentrations of aerosols (mean concentration of 49.3 μg m−3) were observed. Analysis of the source specific molecular markers and diagnostic ratios of PAHs, hopanes and alkanes imply that combustion of coniferous wood and coal in residential heating and traffic belong to the biggest emission sources of organic compounds associated with the PM2.5 aerosols collected during the winter campaign in Ostrava-Radvanice. The industrial production of coke and iron is another important contributor to the concentrations of BaP and other carcinogenic PAHs. The level of air pollution in Ostrava-Radvanice was considerably determined by the overall meteorological situation during the campaign. The highest concentrations of PM2.5 and bound organic compounds were found during a smog episode characterized by poor dispersion conditions due to temperature inversion and weak north-eastern wind, while during the subsequent period characterized by north-west or west wind, the concentrations of aerosols and bound organic compounds were much lower. Transboundary transport of polluted air from the Silesian Voivodeship could have contributed to the pollution in the Moravian-Silesian region during the smog episode.","container-title":"Atmospheric Environment","DOI":"10.1016/j.atmosenv.2015.01.028","ISSN":"1352-2310","journalAbbreviation":"Atmospheric Environment","page":"97-108","source":"ScienceDirect","title":"Characterization of organic compounds in the PM2.5 aerosols in winter in an industrial urban area","volume":"105","author":[{"family":"Mikuška","given":"P."},{"family":"Křůmal","given":"K."},{"family":"Večeřa","given":"Z."}],"issued":{"date-parts":[["2015",3,1]]}}}],"schema":"https://github.com/citation-style-language/schema/raw/master/csl-citation.json"}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[63</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2D0F673F" w14:textId="77777777" w:rsidTr="00420FF2">
        <w:trPr>
          <w:trHeight w:val="300"/>
          <w:jc w:val="center"/>
        </w:trPr>
        <w:tc>
          <w:tcPr>
            <w:tcW w:w="737" w:type="dxa"/>
            <w:shd w:val="clear" w:color="auto" w:fill="auto"/>
            <w:noWrap/>
          </w:tcPr>
          <w:p w14:paraId="6B80691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384C21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Hamadan, Iran</w:t>
            </w:r>
          </w:p>
        </w:tc>
        <w:tc>
          <w:tcPr>
            <w:tcW w:w="1191" w:type="dxa"/>
            <w:shd w:val="clear" w:color="auto" w:fill="auto"/>
            <w:noWrap/>
          </w:tcPr>
          <w:p w14:paraId="5BA1670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59FA73C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2019–Dec. 2019 (30)</w:t>
            </w:r>
          </w:p>
        </w:tc>
        <w:tc>
          <w:tcPr>
            <w:tcW w:w="1134" w:type="dxa"/>
            <w:shd w:val="clear" w:color="auto" w:fill="auto"/>
            <w:noWrap/>
          </w:tcPr>
          <w:p w14:paraId="783852E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23D1A8A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30 L min</w:t>
            </w:r>
            <w:r w:rsidRPr="00C9504C">
              <w:rPr>
                <w:rFonts w:ascii="Arial" w:hAnsi="Arial" w:cs="Arial"/>
                <w:sz w:val="20"/>
                <w:szCs w:val="20"/>
                <w:vertAlign w:val="superscript"/>
                <w:lang w:val="en-US"/>
              </w:rPr>
              <w:t>−1</w:t>
            </w:r>
          </w:p>
        </w:tc>
        <w:tc>
          <w:tcPr>
            <w:tcW w:w="794" w:type="dxa"/>
            <w:shd w:val="clear" w:color="auto" w:fill="auto"/>
            <w:noWrap/>
          </w:tcPr>
          <w:p w14:paraId="3D3F2F9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FGF</w:t>
            </w:r>
          </w:p>
        </w:tc>
        <w:tc>
          <w:tcPr>
            <w:tcW w:w="1191" w:type="dxa"/>
            <w:shd w:val="clear" w:color="auto" w:fill="auto"/>
            <w:noWrap/>
          </w:tcPr>
          <w:p w14:paraId="3C11541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7FD33AC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GC-FID</w:t>
            </w:r>
          </w:p>
        </w:tc>
        <w:tc>
          <w:tcPr>
            <w:tcW w:w="1134" w:type="dxa"/>
            <w:shd w:val="clear" w:color="auto" w:fill="auto"/>
            <w:noWrap/>
          </w:tcPr>
          <w:p w14:paraId="658321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MeOH, DCM</w:t>
            </w:r>
          </w:p>
        </w:tc>
        <w:tc>
          <w:tcPr>
            <w:tcW w:w="1077" w:type="dxa"/>
            <w:shd w:val="clear" w:color="auto" w:fill="auto"/>
            <w:noWrap/>
          </w:tcPr>
          <w:p w14:paraId="72B1242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10C4A84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75</w:t>
            </w:r>
            <w:r w:rsidRPr="0085132E">
              <w:rPr>
                <w:rFonts w:ascii="Arial" w:hAnsi="Arial" w:cs="Arial"/>
                <w:color w:val="000000" w:themeColor="text1"/>
                <w:sz w:val="20"/>
                <w:szCs w:val="20"/>
                <w:lang w:val="en-US"/>
              </w:rPr>
              <w:t>%</w:t>
            </w:r>
            <w:r w:rsidRPr="00C9504C">
              <w:rPr>
                <w:rFonts w:ascii="Arial" w:hAnsi="Arial" w:cs="Arial"/>
                <w:sz w:val="20"/>
                <w:szCs w:val="20"/>
                <w:lang w:val="en-US"/>
              </w:rPr>
              <w:t>−105%</w:t>
            </w:r>
          </w:p>
        </w:tc>
        <w:tc>
          <w:tcPr>
            <w:tcW w:w="907" w:type="dxa"/>
          </w:tcPr>
          <w:p w14:paraId="6377DFE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08D50799"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DR</w:t>
            </w:r>
          </w:p>
        </w:tc>
        <w:tc>
          <w:tcPr>
            <w:tcW w:w="907" w:type="dxa"/>
          </w:tcPr>
          <w:p w14:paraId="6F911CE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{"citationID":"tvVqLDUa","properties":{"formattedCitation":"(64)","plainCitation":"(64)","dontUpdate":true,"noteIndex":0},"citationItems":[{"id":1188,"uris":["http://zotero.org/users/12446040/items/HP4SUS5C"],"itemData":{"id":1188,"type":"article-journal","abstract":"In the present study, both gaseous and particulate (PM with dae &lt;2.5 µm) phases of polycyclic aromatic hydrocarbons (PAHs) were measured in the ambient air of Hamadan city, Iran. For this reason, two low-volume samplers equipped with glass fiber filters were used for sampling of particulate phase (N = 30) and XAD-2 sorbent tubes were applied for sampling gaseous phase of PAHs (N = 30). The sampling was conducted during warm and cold seasons in 2019. The average of cold/warm season ratios for Σ16PAH and PM concentrations were 1.14 and 0.62, respectively. Summed PAHs concentration were determined to be in the range 0.008–59.46 (mean: 11.61) ng/m3 and 0.05–40.83 (mean: 10.22) ng/m3 for the cold and warm seasons, respectively. A negative Pearson correlation coefficient was obtained for wind speed and relative humidity. The average Benzo (a) Pyrene equivalent carcinogenic (BaPeq) levels in the cold season were lower than the maximum permissible risk level of 1 ng/m3 for BaP. The BaP toxicity equivalency (ΣBaPTEQ) and BaP mutagenicity equivalency (ΣBaPMEQ) appeared to be significantly higher in the cold season (averaging 0.35 and 1.65 ng/m3, respectively) than those in warm season. Health risk assessment was performed for children and adults based on BaPeq, inhalation cancer risk. The diagnostic ratios of individual PAHs concentration showed that the significant sources of PAH emissions may be related to light duty vehicles (LDVs) in Hamadan. Although, some other sources such as pyrogenic source and petrol combustion were also suggested.","container-title":"Ecotoxicology and Environmental Safety","DOI":"10.1016/j.ecoenv.2020.111807","ISSN":"0147-6513","journalAbbreviation":"Ecotoxicology and Environmental Safety","page":"111807","source":"ScienceDirect","title":"Phase distribution and risk assessment of PAHs in ambient air of Hamadan, Iran","volume":"209","author":[{"family":"Nadali","given":"Azam"},{"family":"Leili","given":"Mostafa"},{"family":"Bahrami","given":"Abdolrahman"},{"family":"Karami","given":"Manoochehr"},{"family":"Afkhami","given":"Abbas"}],"issued":{"date-parts":[["2021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[64</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5DE89262" w14:textId="77777777" w:rsidTr="00420FF2">
        <w:trPr>
          <w:trHeight w:val="300"/>
          <w:jc w:val="center"/>
        </w:trPr>
        <w:tc>
          <w:tcPr>
            <w:tcW w:w="737" w:type="dxa"/>
            <w:shd w:val="clear" w:color="auto" w:fill="auto"/>
            <w:noWrap/>
          </w:tcPr>
          <w:p w14:paraId="42F8A9B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589486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Los Angeles, USA</w:t>
            </w:r>
          </w:p>
        </w:tc>
        <w:tc>
          <w:tcPr>
            <w:tcW w:w="1191" w:type="dxa"/>
            <w:shd w:val="clear" w:color="auto" w:fill="auto"/>
            <w:noWrap/>
          </w:tcPr>
          <w:p w14:paraId="55095F6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639DF7C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Sep. 2019–Feb. 2020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3E37E68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0192F9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 L min</w:t>
            </w:r>
            <w:r w:rsidRPr="00C9504C">
              <w:rPr>
                <w:rFonts w:ascii="Arial" w:hAnsi="Arial" w:cs="Arial"/>
                <w:sz w:val="20"/>
                <w:szCs w:val="20"/>
                <w:vertAlign w:val="superscript"/>
                <w:lang w:val="en-US"/>
              </w:rPr>
              <w:t>−1</w:t>
            </w:r>
          </w:p>
        </w:tc>
        <w:tc>
          <w:tcPr>
            <w:tcW w:w="794" w:type="dxa"/>
            <w:shd w:val="clear" w:color="auto" w:fill="auto"/>
            <w:noWrap/>
          </w:tcPr>
          <w:p w14:paraId="7E6DCEB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559F67F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5F646A4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SF-ICP-MS</w:t>
            </w:r>
          </w:p>
        </w:tc>
        <w:tc>
          <w:tcPr>
            <w:tcW w:w="1134" w:type="dxa"/>
            <w:shd w:val="clear" w:color="auto" w:fill="auto"/>
            <w:noWrap/>
          </w:tcPr>
          <w:p w14:paraId="2A4E608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1BD974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004FB1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0C60DF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PCA, EF, RE, LRM</w:t>
            </w:r>
          </w:p>
        </w:tc>
        <w:tc>
          <w:tcPr>
            <w:tcW w:w="907" w:type="dxa"/>
          </w:tcPr>
          <w:p w14:paraId="7B7BF8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{"citationID":"8G21zKax","properties":{"formattedCitation":"(65)","plainCitation":"(65)","dontUpdate":true,"noteIndex":0},"citationItems":[{"id":287,"uris":["http://zotero.org/users/12446040/items/JETH78YV"],"itemData":{"id":287,"type":"article-journal","abstract":"The inorganic components of particulate matter (PM), especially transition metals, have been shown to contribute to PM toxicity. In this study, the spatial distribution of PM elements and their potential sources in the Greater Los Angeles area were studied. The mass concentration and detailed elemental composition of fine (PM2.5) and coarse (PM2.5-10) particles were assessed at 46 locations, including urban traffic, urban community, urban background, and desert locations. Crustal enrichment factors (EFs), roadside enrichments (REs), and bivariate correlation analysis revealed that Ba, Cr, Cu, Mo, Pd, Sb, Zn, and Zr were associated with traffic emissions in both PM2.5 and PM2.5-10, while Fe, Li, Mn, and Ti were affected by traffic emissions mostly in PM2.5. The concentrations of Ba, Cu, Mo, Sb, Zr (brake wear tracers), Pd (tailpipe tracer), and Zn (associated with tire wear) were higher at urban traffic sites than urban background locations by factors of 2.6–4.6. Both PM2.5 and PM2.5-10 elements showed large spatial variations, indicating the presence of diverse emission sources across sampling locations. Principal component analysis extracted four source factors that explained 88% of the variance in the PM2.5 elemental concentrations, and three sources that explained 86% of the variance in the PM2.5-10 elemental concentrations. Based on multiple linear regression analysis, the contribution of traffic emissions (27%) to PM2.5 was found to be higher than mineral dust (23%), marine aerosol (18%), and industrial emissions (8%). On the other hand, mineral dust was the dominant source of PM2.5-10 with 45% contribution, followed by marine aerosol (22%), and traffic emissions (19%). This study provides novel insight into the spatial variation of traffic-related elements in a large metropolitan area.","container-title":"Environmental Pollution","DOI":"10.1016/j.envpol.2021.118356","ISSN":"0269-7491","journalAbbreviation":"Environmental Pollution","page":"118356","source":"ScienceDirect","title":"Elemental composition of fine and coarse particles across the greater Los Angeles area: Spatial variation and contributing sources","title-short":"Elemental composition of fine and coarse particles across the greater Los Angeles area","volume":"292","author":[{"family":"Oroumiyeh","given":"Farzan"},{"family":"Jerrett","given":"Michael"},{"family":"Del Rosario","given":"Irish"},{"family":"Lipsitt","given":"Jonah"},{"family":"Liu","given":"Jonathan"},{"family":"Paulson","given":"Suzanne E."},{"family":"Ritz","given":"Beate"},{"family":"Schauer","given":"James J."},{"family":"Shafer","given":"Martin M."},{"family":"Shen","given":"Jiaqi"},{"family":"Weichenthal","given":"Scott"},{"family":"Banerjee","given":"Sudipto"},{"family":"Zhu","given":"Yifang"}],"issued":{"date-parts":[["2022",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[65]</w:t>
            </w:r>
            <w:r w:rsidRPr="00C9504C">
              <w:rPr>
                <w:rFonts w:ascii="Arial" w:hAnsi="Arial" w:cs="Arial"/>
                <w:sz w:val="20"/>
                <w:szCs w:val="20"/>
              </w:rPr>
              <w:fldChar w:fldCharType="end"/>
            </w:r>
          </w:p>
        </w:tc>
      </w:tr>
      <w:tr w:rsidR="006751F9" w:rsidRPr="00AE1E24" w14:paraId="368786F9" w14:textId="77777777" w:rsidTr="00420FF2">
        <w:trPr>
          <w:trHeight w:val="300"/>
          <w:jc w:val="center"/>
        </w:trPr>
        <w:tc>
          <w:tcPr>
            <w:tcW w:w="737" w:type="dxa"/>
            <w:shd w:val="clear" w:color="auto" w:fill="auto"/>
            <w:noWrap/>
          </w:tcPr>
          <w:p w14:paraId="3E44B20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6C6DF2F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Turin, </w:t>
            </w:r>
            <w:proofErr w:type="spellStart"/>
            <w:r w:rsidRPr="00C9504C">
              <w:rPr>
                <w:rFonts w:ascii="Arial" w:hAnsi="Arial" w:cs="Arial"/>
                <w:sz w:val="20"/>
                <w:szCs w:val="20"/>
                <w:lang w:val="en-US"/>
              </w:rPr>
              <w:t>Borgo</w:t>
            </w:r>
            <w:proofErr w:type="spellEnd"/>
            <w:r w:rsidRPr="00C9504C">
              <w:rPr>
                <w:rFonts w:ascii="Arial" w:hAnsi="Arial" w:cs="Arial"/>
                <w:sz w:val="20"/>
                <w:szCs w:val="20"/>
                <w:lang w:val="en-US"/>
              </w:rPr>
              <w:t xml:space="preserve"> San </w:t>
            </w:r>
            <w:proofErr w:type="spellStart"/>
            <w:r w:rsidRPr="00C9504C">
              <w:rPr>
                <w:rFonts w:ascii="Arial" w:hAnsi="Arial" w:cs="Arial"/>
                <w:sz w:val="20"/>
                <w:szCs w:val="20"/>
                <w:lang w:val="en-US"/>
              </w:rPr>
              <w:t>Dalmazzo</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Salicento</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Druento</w:t>
            </w:r>
            <w:proofErr w:type="spellEnd"/>
            <w:r w:rsidRPr="00C9504C">
              <w:rPr>
                <w:rFonts w:ascii="Arial" w:hAnsi="Arial" w:cs="Arial"/>
                <w:sz w:val="20"/>
                <w:szCs w:val="20"/>
                <w:lang w:val="en-US"/>
              </w:rPr>
              <w:t>, Italy</w:t>
            </w:r>
          </w:p>
        </w:tc>
        <w:tc>
          <w:tcPr>
            <w:tcW w:w="1191" w:type="dxa"/>
            <w:shd w:val="clear" w:color="auto" w:fill="auto"/>
            <w:noWrap/>
          </w:tcPr>
          <w:p w14:paraId="510E80F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3477379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2011–Dec. 2011 (140)</w:t>
            </w:r>
          </w:p>
        </w:tc>
        <w:tc>
          <w:tcPr>
            <w:tcW w:w="1134" w:type="dxa"/>
            <w:shd w:val="clear" w:color="auto" w:fill="auto"/>
            <w:noWrap/>
          </w:tcPr>
          <w:p w14:paraId="5C9D435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182E7C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4A64CD8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182C94A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015056E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02230CF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w:t>
            </w:r>
            <w:r w:rsidRPr="00C9504C">
              <w:rPr>
                <w:rFonts w:ascii="Arial" w:hAnsi="Arial" w:cs="Arial"/>
                <w:sz w:val="20"/>
                <w:szCs w:val="20"/>
                <w:vertAlign w:val="subscript"/>
                <w:lang w:val="en-US"/>
              </w:rPr>
              <w:t>2</w:t>
            </w:r>
            <w:r w:rsidRPr="00C9504C">
              <w:rPr>
                <w:rFonts w:ascii="Arial" w:hAnsi="Arial" w:cs="Arial"/>
                <w:sz w:val="20"/>
                <w:szCs w:val="20"/>
                <w:lang w:val="en-US"/>
              </w:rPr>
              <w:t>O</w:t>
            </w:r>
            <w:r w:rsidRPr="00C9504C">
              <w:rPr>
                <w:rFonts w:ascii="Arial" w:hAnsi="Arial" w:cs="Arial"/>
                <w:sz w:val="20"/>
                <w:szCs w:val="20"/>
                <w:vertAlign w:val="subscript"/>
                <w:lang w:val="en-US"/>
              </w:rPr>
              <w:t>2</w:t>
            </w:r>
          </w:p>
        </w:tc>
        <w:tc>
          <w:tcPr>
            <w:tcW w:w="1077" w:type="dxa"/>
            <w:shd w:val="clear" w:color="auto" w:fill="auto"/>
            <w:noWrap/>
          </w:tcPr>
          <w:p w14:paraId="15B58E9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712D006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80</w:t>
            </w:r>
            <w:r w:rsidRPr="0085132E">
              <w:rPr>
                <w:rFonts w:ascii="Arial" w:hAnsi="Arial" w:cs="Arial"/>
                <w:color w:val="000000" w:themeColor="text1"/>
                <w:sz w:val="20"/>
                <w:szCs w:val="20"/>
                <w:lang w:val="en-US"/>
              </w:rPr>
              <w:t>%</w:t>
            </w:r>
            <w:r w:rsidRPr="00C9504C">
              <w:rPr>
                <w:rFonts w:ascii="Arial" w:hAnsi="Arial" w:cs="Arial"/>
                <w:sz w:val="20"/>
                <w:szCs w:val="20"/>
                <w:lang w:val="en-US"/>
              </w:rPr>
              <w:t>−120%, RSD:</w:t>
            </w:r>
          </w:p>
          <w:p w14:paraId="6676298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&lt;5%</w:t>
            </w:r>
          </w:p>
        </w:tc>
        <w:tc>
          <w:tcPr>
            <w:tcW w:w="907" w:type="dxa"/>
          </w:tcPr>
          <w:p w14:paraId="5E25079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1648a</w:t>
            </w:r>
          </w:p>
        </w:tc>
        <w:tc>
          <w:tcPr>
            <w:tcW w:w="1247" w:type="dxa"/>
          </w:tcPr>
          <w:p w14:paraId="4DA2533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PCA, FA, HCA, EF</w:t>
            </w:r>
          </w:p>
        </w:tc>
        <w:tc>
          <w:tcPr>
            <w:tcW w:w="907" w:type="dxa"/>
          </w:tcPr>
          <w:p w14:paraId="675EAFB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{"citationID":"lKaKfJU4","properties":{"formattedCitation":"(66)","plainCitation":"(66)","dontUpdate":true,"noteIndex":0},"citationItems":[{"id":1183,"uris":["http://zotero.org/users/12446040/items/DS6JZUBE"],"itemData":{"id":1183,"type":"article-journal","abstract":"The results on elemental composition of aerosol (PM10) sampled during 2011 in Piedmont region (Italy) are interpreted using meteorological data, Enrichment Factors (EF), chemometric processing by Principal Component Analysis (PCA), Factor Analysis (FA) and Hierarchical Cluster Analysis (HCA). Daily concentrations of about 30 elements were measured using HR-ICP-MS in five monitoring sites. A clear seasonal pattern, with higher concentrations in autumn and winter, was observed, particularly in the urban sites. Levels of As, Cd, Ni and Pb in most of the samples were within the limits imposed by the European legislation. Spatial differences in PM10 and metal concentrations were significant, with rural and urban sites showing different metal patterns, indicating different sources. K and Ca were used, respectively, as marker of biomass burning and industrial marker (cement plant); EFs showed that Ca was enriched just in one area and K was enriched only in the winter period considered and in some stations. Data analysis through PCA, FA and HCA allowed us to identify correlations among the investigated elements and similarities between sampling sites in order to individuate specific emission sources, such as non-exhaust vehicle emission.","container-title":"Chemosphere","DOI":"10.1016/j.chemosphere.2015.11.094","ISSN":"0045-6535","journalAbbreviation":"Chemosphere","page":"495-507","source":"ScienceDirect","title":"Spatial distribution and potential sources of trace elements in PM10 monitored in urban and rural sites of Piedmont Region","volume":"145","author":[{"family":"Padoan","given":"Elio"},{"family":"Malandrino","given":"Mery"},{"family":"Giacomino","given":"Agnese"},{"family":"Grosa","given":"Mauro M."},{"family":"Lollobrigida","given":"Francesco"},{"family":"Martini","given":"Sara"},{"family":"Abollino","given":"Ornella"}],"issued":{"date-parts":[["2016",2,1]]}}}],"schema":"https://github.com/citation-style-language/schema/raw/master/csl-citation.json"}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[66]</w:t>
            </w:r>
            <w:r w:rsidRPr="00C9504C">
              <w:rPr>
                <w:rFonts w:ascii="Arial" w:hAnsi="Arial" w:cs="Arial"/>
                <w:sz w:val="20"/>
                <w:szCs w:val="20"/>
              </w:rPr>
              <w:fldChar w:fldCharType="end"/>
            </w:r>
          </w:p>
        </w:tc>
      </w:tr>
      <w:tr w:rsidR="006751F9" w:rsidRPr="00AE1E24" w14:paraId="7B051676" w14:textId="77777777" w:rsidTr="00420FF2">
        <w:trPr>
          <w:trHeight w:val="300"/>
          <w:jc w:val="center"/>
        </w:trPr>
        <w:tc>
          <w:tcPr>
            <w:tcW w:w="737" w:type="dxa"/>
            <w:shd w:val="clear" w:color="auto" w:fill="auto"/>
            <w:noWrap/>
          </w:tcPr>
          <w:p w14:paraId="0851DE9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47D5226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Shiraz, Iran</w:t>
            </w:r>
          </w:p>
        </w:tc>
        <w:tc>
          <w:tcPr>
            <w:tcW w:w="1191" w:type="dxa"/>
            <w:shd w:val="clear" w:color="auto" w:fill="auto"/>
            <w:noWrap/>
          </w:tcPr>
          <w:p w14:paraId="56963B5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5C70261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Sep. </w:t>
            </w:r>
            <w:r w:rsidRPr="00C9504C">
              <w:rPr>
                <w:rFonts w:ascii="Arial" w:hAnsi="Arial" w:cs="Arial"/>
                <w:sz w:val="20"/>
                <w:szCs w:val="20"/>
                <w:lang w:val="en-US"/>
              </w:rPr>
              <w:lastRenderedPageBreak/>
              <w:t>2018–Dec. 2018 (30)</w:t>
            </w:r>
          </w:p>
        </w:tc>
        <w:tc>
          <w:tcPr>
            <w:tcW w:w="1134" w:type="dxa"/>
            <w:shd w:val="clear" w:color="auto" w:fill="auto"/>
            <w:noWrap/>
          </w:tcPr>
          <w:p w14:paraId="557323B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HVS</w:t>
            </w:r>
          </w:p>
        </w:tc>
        <w:tc>
          <w:tcPr>
            <w:tcW w:w="737" w:type="dxa"/>
            <w:shd w:val="clear" w:color="auto" w:fill="auto"/>
            <w:noWrap/>
          </w:tcPr>
          <w:p w14:paraId="3D2EF78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1.42 </w:t>
            </w:r>
            <w:r w:rsidRPr="00C9504C">
              <w:rPr>
                <w:rFonts w:ascii="Arial" w:hAnsi="Arial" w:cs="Arial"/>
                <w:sz w:val="20"/>
                <w:szCs w:val="20"/>
                <w:lang w:val="en-US"/>
              </w:rPr>
              <w:lastRenderedPageBreak/>
              <w:t>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4DD9F4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FGF</w:t>
            </w:r>
          </w:p>
        </w:tc>
        <w:tc>
          <w:tcPr>
            <w:tcW w:w="1191" w:type="dxa"/>
            <w:shd w:val="clear" w:color="auto" w:fill="auto"/>
            <w:noWrap/>
          </w:tcPr>
          <w:p w14:paraId="3D8B1D2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1CEB533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ICP-OES</w:t>
            </w:r>
          </w:p>
        </w:tc>
        <w:tc>
          <w:tcPr>
            <w:tcW w:w="1134" w:type="dxa"/>
            <w:shd w:val="clear" w:color="auto" w:fill="auto"/>
            <w:noWrap/>
          </w:tcPr>
          <w:p w14:paraId="0AE529B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MAD with </w:t>
            </w:r>
            <w:r w:rsidRPr="00C9504C">
              <w:rPr>
                <w:rFonts w:ascii="Arial" w:hAnsi="Arial" w:cs="Arial"/>
                <w:sz w:val="20"/>
                <w:szCs w:val="20"/>
                <w:lang w:val="en-US"/>
              </w:rPr>
              <w:lastRenderedPageBreak/>
              <w:t>HNO</w:t>
            </w:r>
            <w:r w:rsidRPr="00C9504C">
              <w:rPr>
                <w:rFonts w:ascii="Arial" w:hAnsi="Arial" w:cs="Arial"/>
                <w:sz w:val="20"/>
                <w:szCs w:val="20"/>
                <w:vertAlign w:val="subscript"/>
                <w:lang w:val="en-US"/>
              </w:rPr>
              <w:t>3</w:t>
            </w:r>
            <w:r w:rsidRPr="00C9504C">
              <w:rPr>
                <w:rFonts w:ascii="Arial" w:hAnsi="Arial" w:cs="Arial"/>
                <w:sz w:val="20"/>
                <w:szCs w:val="20"/>
                <w:lang w:val="en-US"/>
              </w:rPr>
              <w:t>, HClO</w:t>
            </w:r>
            <w:r w:rsidRPr="00C9504C">
              <w:rPr>
                <w:rFonts w:ascii="Arial" w:hAnsi="Arial" w:cs="Arial"/>
                <w:sz w:val="20"/>
                <w:szCs w:val="20"/>
                <w:vertAlign w:val="subscript"/>
                <w:lang w:val="en-US"/>
              </w:rPr>
              <w:t>4</w:t>
            </w:r>
          </w:p>
        </w:tc>
        <w:tc>
          <w:tcPr>
            <w:tcW w:w="1077" w:type="dxa"/>
            <w:shd w:val="clear" w:color="auto" w:fill="auto"/>
            <w:noWrap/>
          </w:tcPr>
          <w:p w14:paraId="147E5A8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Rec.:</w:t>
            </w:r>
          </w:p>
          <w:p w14:paraId="4E63A8F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92</w:t>
            </w:r>
            <w:r w:rsidRPr="0085132E">
              <w:rPr>
                <w:rFonts w:ascii="Arial" w:hAnsi="Arial" w:cs="Arial"/>
                <w:color w:val="000000" w:themeColor="text1"/>
                <w:sz w:val="20"/>
                <w:szCs w:val="20"/>
                <w:lang w:val="en-US"/>
              </w:rPr>
              <w:t>%</w:t>
            </w:r>
            <w:r w:rsidRPr="00C9504C">
              <w:rPr>
                <w:rFonts w:ascii="Arial" w:hAnsi="Arial" w:cs="Arial"/>
                <w:sz w:val="20"/>
                <w:szCs w:val="20"/>
                <w:lang w:val="en-US"/>
              </w:rPr>
              <w:t>−105%</w:t>
            </w:r>
          </w:p>
          <w:p w14:paraId="6056B15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78DF83F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&lt;5%</w:t>
            </w:r>
          </w:p>
          <w:p w14:paraId="31D5AD1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w:t>
            </w:r>
            <w:r w:rsidRPr="00C9504C">
              <w:rPr>
                <w:rFonts w:ascii="Arial" w:hAnsi="Arial" w:cs="Arial"/>
                <w:sz w:val="20"/>
                <w:szCs w:val="20"/>
                <w:vertAlign w:val="superscript"/>
                <w:lang w:val="en-US"/>
              </w:rPr>
              <w:t>2</w:t>
            </w:r>
            <w:r w:rsidRPr="00C9504C">
              <w:rPr>
                <w:rFonts w:ascii="Arial" w:hAnsi="Arial" w:cs="Arial"/>
                <w:sz w:val="20"/>
                <w:szCs w:val="20"/>
                <w:lang w:val="en-US"/>
              </w:rPr>
              <w:t>:</w:t>
            </w:r>
          </w:p>
          <w:p w14:paraId="6D5EEF0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0.998−0.99</w:t>
            </w:r>
          </w:p>
        </w:tc>
        <w:tc>
          <w:tcPr>
            <w:tcW w:w="907" w:type="dxa"/>
          </w:tcPr>
          <w:p w14:paraId="6E05A46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 xml:space="preserve">NIST </w:t>
            </w:r>
            <w:r w:rsidRPr="00C9504C">
              <w:rPr>
                <w:rFonts w:ascii="Arial" w:hAnsi="Arial" w:cs="Arial"/>
                <w:sz w:val="20"/>
                <w:szCs w:val="20"/>
                <w:lang w:val="en-US"/>
              </w:rPr>
              <w:lastRenderedPageBreak/>
              <w:t>SRM 1648</w:t>
            </w:r>
          </w:p>
        </w:tc>
        <w:tc>
          <w:tcPr>
            <w:tcW w:w="1247" w:type="dxa"/>
          </w:tcPr>
          <w:p w14:paraId="698200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 xml:space="preserve">ILCR, </w:t>
            </w:r>
            <w:r w:rsidRPr="00C9504C">
              <w:rPr>
                <w:rFonts w:ascii="Arial" w:hAnsi="Arial" w:cs="Arial"/>
                <w:sz w:val="20"/>
                <w:szCs w:val="20"/>
                <w:lang w:val="en-US"/>
              </w:rPr>
              <w:lastRenderedPageBreak/>
              <w:t>LADD, HQ, HI, PCA</w:t>
            </w:r>
          </w:p>
        </w:tc>
        <w:tc>
          <w:tcPr>
            <w:tcW w:w="907" w:type="dxa"/>
          </w:tcPr>
          <w:p w14:paraId="3B5D07E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fldChar w:fldCharType="begin"/>
            </w:r>
            <w:r>
              <w:rPr>
                <w:rFonts w:ascii="Arial" w:hAnsi="Arial" w:cs="Arial"/>
                <w:sz w:val="20"/>
                <w:szCs w:val="20"/>
                <w:lang w:val="en-US"/>
              </w:rPr>
              <w:instrText xml:space="preserve"> ADDIN ZOTERO_ITEM CSL_CITATION {"citationID":"7IU5T5A6","properties":{"formattedCitation":"(67)","plainCitation":"(67)","dontUpdate":true,"noteIndex":0},"citationItems":[{"id":1063,"uris":["http://zotero.org/users/12446040/items/V5Y28BEU"],"itemData":{"id":1063,"type":"article-journal","abstract":"This study investigated the concentrations of suspended particulate matter £ 10 µm in diameter (PM10) and their heavy metal content, including cadmium, lead, chromium, zinc, nickel, aluminum, and iron, in ambient air in the Middle East: Shiraz, Iran. The Crystal Ball 7.3 software package was used to assess carcinogenic and non-carcinogenic health effects due to heavy metal exposure. The mean concentrations of heavy metals increased in the following order: Fe &gt; Al &gt; Zn &gt; Pb &gt; Cr &gt; Ni &gt; Cd. Meanwhile, the average concentrations of PM10 decreased during the same time frame. When comparing PM10 on various days of the week in Iran, including holidays (Thursday and Friday), two days after holidays (Saturday and Sunday), and other days (Monday, Tuesday and Wednesday), the concentrations were higher two days after the holidays as compared to other days of the week (p &lt; 0.05). The excess lifetime cancer risk (ELCR) for Cr, especially for children was 1.20 × 10−2, which surpassed suggested EPA levels. The non-carcinogenic values of heavy metals for children were significantly higher than those for adults for three pathways. The results indicate that children usually had more exposure to heavy metals associated with PM10 as compared to adults.","container-title":"Microchemical Journal","DOI":"10.1016/j.microc.2020.104596","ISSN":"0026-265X","journalAbbreviation":"Microchemical Journal","page":"104596","source":"ScienceDirect","title":"On the nature of heavy metals in PM10 for an urban desert city in the Middle East: Shiraz, Iran","title-short":"On the nature of heavy metals in PM10 for an urban desert city in the Middle East","volume":"154","author":[{"family":"Parvizimehr","given":"Ali"},{"family":"Baghani","given":"Abbas Norouzian"},{"family":"Hoseini","given":"Mohammad"},{"family":"Sorooshian","given":"Armin"},{"family":"Cuevas-Robles","given":"Alberto"},{"family":"Fararouei","given":"Mohammad"},{"family":"Dehghani","given":"Mansooreh"},{"family":"Delikhoon","given":"Mahdieh"},{"family":"Barkhordari","given":"Abdullah"},{"family":"Shahsavani","given":"Samaneh"},{"family":"Badeenezhad","given":"Ahmad"}],"issued":{"date-parts":[["2020",5,1]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[67]</w:t>
            </w:r>
            <w:r w:rsidRPr="00C9504C">
              <w:rPr>
                <w:rFonts w:ascii="Arial" w:hAnsi="Arial" w:cs="Arial"/>
                <w:sz w:val="20"/>
                <w:szCs w:val="20"/>
              </w:rPr>
              <w:fldChar w:fldCharType="end"/>
            </w:r>
          </w:p>
        </w:tc>
      </w:tr>
      <w:tr w:rsidR="006751F9" w:rsidRPr="00AE1E24" w14:paraId="0C2894A8" w14:textId="77777777" w:rsidTr="00420FF2">
        <w:trPr>
          <w:trHeight w:val="300"/>
          <w:jc w:val="center"/>
        </w:trPr>
        <w:tc>
          <w:tcPr>
            <w:tcW w:w="737" w:type="dxa"/>
            <w:shd w:val="clear" w:color="auto" w:fill="auto"/>
            <w:noWrap/>
          </w:tcPr>
          <w:p w14:paraId="0D3B9C2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10</w:t>
            </w:r>
          </w:p>
        </w:tc>
        <w:tc>
          <w:tcPr>
            <w:tcW w:w="1417" w:type="dxa"/>
            <w:shd w:val="clear" w:color="auto" w:fill="auto"/>
            <w:noWrap/>
          </w:tcPr>
          <w:p w14:paraId="42E1BA83"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Jalgaon</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Bhusaval</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Pachora</w:t>
            </w:r>
            <w:proofErr w:type="spellEnd"/>
            <w:r w:rsidRPr="00C9504C">
              <w:rPr>
                <w:rFonts w:ascii="Arial" w:hAnsi="Arial" w:cs="Arial"/>
                <w:sz w:val="20"/>
                <w:szCs w:val="20"/>
                <w:lang w:val="en-US"/>
              </w:rPr>
              <w:t>, India</w:t>
            </w:r>
          </w:p>
        </w:tc>
        <w:tc>
          <w:tcPr>
            <w:tcW w:w="1191" w:type="dxa"/>
            <w:shd w:val="clear" w:color="auto" w:fill="auto"/>
            <w:noWrap/>
          </w:tcPr>
          <w:p w14:paraId="68BD1E9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3A4B490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Mar. 2023 (24)</w:t>
            </w:r>
          </w:p>
        </w:tc>
        <w:tc>
          <w:tcPr>
            <w:tcW w:w="1134" w:type="dxa"/>
            <w:shd w:val="clear" w:color="auto" w:fill="auto"/>
            <w:noWrap/>
          </w:tcPr>
          <w:p w14:paraId="753D0733"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737" w:type="dxa"/>
            <w:shd w:val="clear" w:color="auto" w:fill="auto"/>
            <w:noWrap/>
          </w:tcPr>
          <w:p w14:paraId="414A2D2F"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794" w:type="dxa"/>
            <w:shd w:val="clear" w:color="auto" w:fill="auto"/>
            <w:noWrap/>
          </w:tcPr>
          <w:p w14:paraId="55B42F1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91" w:type="dxa"/>
            <w:shd w:val="clear" w:color="auto" w:fill="auto"/>
            <w:noWrap/>
          </w:tcPr>
          <w:p w14:paraId="7C7EE54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2B2F054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ICP-OES</w:t>
            </w:r>
          </w:p>
        </w:tc>
        <w:tc>
          <w:tcPr>
            <w:tcW w:w="1134" w:type="dxa"/>
            <w:shd w:val="clear" w:color="auto" w:fill="auto"/>
            <w:noWrap/>
          </w:tcPr>
          <w:p w14:paraId="45E9391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HCl,</w:t>
            </w:r>
          </w:p>
        </w:tc>
        <w:tc>
          <w:tcPr>
            <w:tcW w:w="1077" w:type="dxa"/>
            <w:shd w:val="clear" w:color="auto" w:fill="auto"/>
            <w:noWrap/>
          </w:tcPr>
          <w:p w14:paraId="1F404D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00EBC9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&lt;10%, </w:t>
            </w:r>
          </w:p>
          <w:p w14:paraId="708CE5B7"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Er</w:t>
            </w:r>
            <w:proofErr w:type="spellEnd"/>
            <w:r w:rsidRPr="00C9504C">
              <w:rPr>
                <w:rFonts w:ascii="Arial" w:hAnsi="Arial" w:cs="Arial"/>
                <w:sz w:val="20"/>
                <w:szCs w:val="20"/>
                <w:lang w:val="en-US"/>
              </w:rPr>
              <w:t>.:</w:t>
            </w:r>
          </w:p>
          <w:p w14:paraId="6855903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&lt;10%</w:t>
            </w:r>
          </w:p>
        </w:tc>
        <w:tc>
          <w:tcPr>
            <w:tcW w:w="907" w:type="dxa"/>
          </w:tcPr>
          <w:p w14:paraId="3589B72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7F43A5E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LADD, ILCR, PCA</w:t>
            </w:r>
          </w:p>
        </w:tc>
        <w:tc>
          <w:tcPr>
            <w:tcW w:w="907" w:type="dxa"/>
          </w:tcPr>
          <w:p w14:paraId="6140C09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{"citationID":"azqzZCHK","properties":{"formattedCitation":"(68)","plainCitation":"(68)","dontUpdate":true,"noteIndex":0},"citationItems":[{"id":1398,"uris":["http://zotero.org/users/12446040/items/QVH6SPWG"],"itemData":{"id":1398,"type":"article-journal","abstract":"This is the first inclusive research concerning PM10 samples collected from 3 cities of Maharashtra State of India which categorized into 9 microenvironments. This study presents insights to chemical and morphological analysis, health risks, source apportionment, with sustainable solutions to improve air quality. These samples were analyzed for elemental composition as well as morphological features. Average PM10 concentration at industrial area of Jalgaon city was found to be maximum (70.9 ± 2.7 μg/m3) while minimum at residential area of Pachora city (43.1 ± 5.2 μg/m3). The mean concentration of 8 elements followed the order of (Co &lt; Cd &lt; Ni &lt; Cr &lt; Pb &lt; Mn &lt; Zn &lt; Fe). These particles showed varying morphologies such as spherical, rectangular, cluster, porous shape. Principal Component Analysis (PCA) revealed that elements mainly originate from vehicular exhaust, construction activities, coal combustion and re-suspension of crustal elements due to anthropogenic activities. Health risk assessment showed that the incremental excess lifetime cancer risk (IELCR) for Pb was below threshold limit. Nonetheless, the exposed population is highly susceptible to Cr, Ni, and Co causing high risk of cancer at all sites.","container-title":"Environmental Chemistry and Ecotoxicology","DOI":"10.1016/j.enceco.2024.05.008","ISSN":"2590-1826","journalAbbreviation":"Environmental Chemistry and Ecotoxicology","page":"192-205","source":"ScienceDirect","title":"Urban ambient PM10 analysis: Characterization, sources, health risk and sustainable solutions","title-short":"Urban ambient PM10 analysis","volume":"6","author":[{"family":"Patil","given":"Mayuri"},{"family":"Jadhav","given":"Asmita S."},{"family":"Singh","given":"Sunit Kumar"},{"family":"Ingle","given":"Sopan"}],"issued":{"date-parts":[["2024",1,1]]}}}],"schema":"https://github.com/citation-style-language/schema/raw/master/csl-citation.json"}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[68]</w:t>
            </w:r>
            <w:r w:rsidRPr="00C9504C">
              <w:rPr>
                <w:rFonts w:ascii="Arial" w:hAnsi="Arial" w:cs="Arial"/>
                <w:sz w:val="20"/>
                <w:szCs w:val="20"/>
              </w:rPr>
              <w:fldChar w:fldCharType="end"/>
            </w:r>
          </w:p>
        </w:tc>
      </w:tr>
      <w:tr w:rsidR="006751F9" w:rsidRPr="00AE1E24" w14:paraId="6DD998E9" w14:textId="77777777" w:rsidTr="00420FF2">
        <w:trPr>
          <w:trHeight w:val="300"/>
          <w:jc w:val="center"/>
        </w:trPr>
        <w:tc>
          <w:tcPr>
            <w:tcW w:w="737" w:type="dxa"/>
            <w:shd w:val="clear" w:color="auto" w:fill="auto"/>
            <w:noWrap/>
          </w:tcPr>
          <w:p w14:paraId="0BDBAEE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05D26EE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Beijing, Tianjin, </w:t>
            </w:r>
            <w:proofErr w:type="spellStart"/>
            <w:r w:rsidRPr="00C9504C">
              <w:rPr>
                <w:rFonts w:ascii="Arial" w:hAnsi="Arial" w:cs="Arial"/>
                <w:sz w:val="20"/>
                <w:szCs w:val="20"/>
                <w:lang w:val="en-US"/>
              </w:rPr>
              <w:t>Jinzhong</w:t>
            </w:r>
            <w:proofErr w:type="spellEnd"/>
            <w:r w:rsidRPr="00C9504C">
              <w:rPr>
                <w:rFonts w:ascii="Arial" w:hAnsi="Arial" w:cs="Arial"/>
                <w:sz w:val="20"/>
                <w:szCs w:val="20"/>
                <w:lang w:val="en-US"/>
              </w:rPr>
              <w:t>, Qingdao, China</w:t>
            </w:r>
          </w:p>
        </w:tc>
        <w:tc>
          <w:tcPr>
            <w:tcW w:w="1191" w:type="dxa"/>
            <w:shd w:val="clear" w:color="auto" w:fill="auto"/>
            <w:noWrap/>
          </w:tcPr>
          <w:p w14:paraId="74F62FB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23928E5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Apr. 2014–Mar. 2015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486ADB3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37" w:type="dxa"/>
            <w:shd w:val="clear" w:color="auto" w:fill="auto"/>
            <w:noWrap/>
          </w:tcPr>
          <w:p w14:paraId="4667ED3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94" w:type="dxa"/>
            <w:shd w:val="clear" w:color="auto" w:fill="auto"/>
            <w:noWrap/>
          </w:tcPr>
          <w:p w14:paraId="1C04784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7287FE9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663E877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07DF213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HCl, HClO</w:t>
            </w:r>
            <w:r w:rsidRPr="00C9504C">
              <w:rPr>
                <w:rFonts w:ascii="Arial" w:hAnsi="Arial" w:cs="Arial"/>
                <w:sz w:val="20"/>
                <w:szCs w:val="20"/>
                <w:vertAlign w:val="subscript"/>
                <w:lang w:val="en-US"/>
              </w:rPr>
              <w:t>4</w:t>
            </w:r>
          </w:p>
        </w:tc>
        <w:tc>
          <w:tcPr>
            <w:tcW w:w="1077" w:type="dxa"/>
            <w:shd w:val="clear" w:color="auto" w:fill="auto"/>
            <w:noWrap/>
          </w:tcPr>
          <w:p w14:paraId="160A1E0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1D2F1E0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78</w:t>
            </w:r>
            <w:r w:rsidRPr="0085132E">
              <w:rPr>
                <w:rFonts w:ascii="Arial" w:hAnsi="Arial" w:cs="Arial"/>
                <w:color w:val="000000" w:themeColor="text1"/>
                <w:sz w:val="20"/>
                <w:szCs w:val="20"/>
                <w:lang w:val="en-US"/>
              </w:rPr>
              <w:t>%</w:t>
            </w:r>
            <w:r w:rsidRPr="00C9504C">
              <w:rPr>
                <w:rFonts w:ascii="Arial" w:hAnsi="Arial" w:cs="Arial"/>
                <w:sz w:val="20"/>
                <w:szCs w:val="20"/>
                <w:lang w:val="en-US"/>
              </w:rPr>
              <w:t>−113%</w:t>
            </w:r>
          </w:p>
        </w:tc>
        <w:tc>
          <w:tcPr>
            <w:tcW w:w="907" w:type="dxa"/>
          </w:tcPr>
          <w:p w14:paraId="33A0D0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SRM GSS16</w:t>
            </w:r>
          </w:p>
        </w:tc>
        <w:tc>
          <w:tcPr>
            <w:tcW w:w="1247" w:type="dxa"/>
          </w:tcPr>
          <w:p w14:paraId="3B643C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LADD, HQ, HI, ILCR, PCA</w:t>
            </w:r>
          </w:p>
        </w:tc>
        <w:tc>
          <w:tcPr>
            <w:tcW w:w="907" w:type="dxa"/>
          </w:tcPr>
          <w:p w14:paraId="0F77468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{"citationID":"z8CfbATG","properties":{"formattedCitation":"(69)","plainCitation":"(69)","dontUpdate":true,"noteIndex":0},"citationItems":[{"id":1059,"uris":["http://zotero.org/users/12446040/items/3XPY32YP"],"itemData":{"id":1059,"type":"article-journal","abstract":"Atmospheric coarse particulate matter (PM10) enriched with heavy metal(loid)s could pose potentially significant health risk to humans, while accurate health risk assessment calls for characterization of their bioaccessibility, besides the total contents. The health risk of major toxic heavy metal(loid)s in the PM10 from four large cities in northern China via inhalation was investigated based on their total contents and bioaccessibility. The annual mean concentrations of PM-bound Zn, As, Pb, and Mn in the atmosphere of the four cities were 650, 305, 227, and 177 ng</w:instrText>
            </w:r>
            <w:r>
              <w:rPr>
                <w:rFonts w:ascii="Cambria Math" w:hAnsi="Cambria Math" w:cs="Cambria Math"/>
                <w:sz w:val="20"/>
                <w:szCs w:val="20"/>
                <w:lang w:val="en-US"/>
              </w:rPr>
              <w:instrText>⋅</w:instrText>
            </w:r>
            <w:r>
              <w:rPr>
                <w:rFonts w:ascii="Arial" w:hAnsi="Arial" w:cs="Arial"/>
                <w:sz w:val="20"/>
                <w:szCs w:val="20"/>
                <w:lang w:val="en-US"/>
              </w:rPr>
              <w:instrText xml:space="preserve">m−3, respectively. The levels of heavy metal(loid)s in the PM10 were generally higher in winter but lower in summer in all four cities, which resulted primarily from the emissions associated with coal combustion for district and household heating and the unfavorable meteorological conditions in winter. The bioaccessibility of heavy metal(loid)s in the PM10 ranged from 0.9 to 48.7%, following the general order of Mn &gt; Co &gt; Ni &gt; Cd &gt; Cu &gt; As &gt; Cr &gt; Zn &gt; Pb. Based on their total contents in the PM10, most heavy metal(loid)s posed significant public health risk via inhalation exposure in the four cities. However, after accounting for the bioaccessibility of metal(loid)s, the non-carcinogenic risk of most metal(loid)s was negligible, except for As in the PM10 of Jinzhong, while only the carcinogenic risk posed by Cr and As in the PM10 exceeded the acceptable level. These findings demonstrate the importance of characterizing the bioaccessibility of airborne PM-bound heavy metal(loid)s in health risk assessment and could guide the on-going efforts on reducing the public health risk of PM10 in northern China.","container-title":"Chemosphere","DOI":"10.1016/j.chemosphere.2021.130312","ISSN":"0045-6535","journalAbbreviation":"Chemosphere","page":"130312","source":"ScienceDirect","title":"Bioaccessibility and public health risk of heavy Metal(loid)s in the airborne particulate matter of four cities in northern China","volume":"277","author":[{"family":"Ren","given":"Yuxuan"},{"family":"Luo","given":"Qing"},{"family":"Zhuo","given":"Shaojie"},{"family":"Hu","given":"Yuanan"},{"family":"Shen","given":"Guofeng"},{"family":"Cheng","given":"Hefa"},{"family":"Tao","given":"Shu"}],"issued":{"date-parts":[["2021",8,1]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[69]</w:t>
            </w:r>
            <w:r w:rsidRPr="00C9504C">
              <w:rPr>
                <w:rFonts w:ascii="Arial" w:hAnsi="Arial" w:cs="Arial"/>
                <w:sz w:val="20"/>
                <w:szCs w:val="20"/>
              </w:rPr>
              <w:fldChar w:fldCharType="end"/>
            </w:r>
          </w:p>
        </w:tc>
      </w:tr>
      <w:tr w:rsidR="006751F9" w:rsidRPr="00AE1E24" w14:paraId="2D304164" w14:textId="77777777" w:rsidTr="00420FF2">
        <w:trPr>
          <w:trHeight w:val="300"/>
          <w:jc w:val="center"/>
        </w:trPr>
        <w:tc>
          <w:tcPr>
            <w:tcW w:w="737" w:type="dxa"/>
            <w:shd w:val="clear" w:color="auto" w:fill="auto"/>
            <w:noWrap/>
          </w:tcPr>
          <w:p w14:paraId="4FCC03C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60B8C6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Gdansk, </w:t>
            </w:r>
            <w:proofErr w:type="spellStart"/>
            <w:r w:rsidRPr="00C9504C">
              <w:rPr>
                <w:rFonts w:ascii="Arial" w:hAnsi="Arial" w:cs="Arial"/>
                <w:sz w:val="20"/>
                <w:szCs w:val="20"/>
                <w:lang w:val="en-US"/>
              </w:rPr>
              <w:t>Diabla</w:t>
            </w:r>
            <w:proofErr w:type="spellEnd"/>
            <w:r w:rsidRPr="00C9504C">
              <w:rPr>
                <w:rFonts w:ascii="Arial" w:hAnsi="Arial" w:cs="Arial"/>
                <w:sz w:val="20"/>
                <w:szCs w:val="20"/>
                <w:lang w:val="en-US"/>
              </w:rPr>
              <w:t xml:space="preserve"> Gora, Katowice, Poland</w:t>
            </w:r>
          </w:p>
        </w:tc>
        <w:tc>
          <w:tcPr>
            <w:tcW w:w="1191" w:type="dxa"/>
            <w:shd w:val="clear" w:color="auto" w:fill="auto"/>
            <w:noWrap/>
          </w:tcPr>
          <w:p w14:paraId="2B9775A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6C886DB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2010–Dec. 2010 (1079)</w:t>
            </w:r>
          </w:p>
        </w:tc>
        <w:tc>
          <w:tcPr>
            <w:tcW w:w="1134" w:type="dxa"/>
            <w:shd w:val="clear" w:color="auto" w:fill="auto"/>
            <w:noWrap/>
          </w:tcPr>
          <w:p w14:paraId="48E4EEB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 LVS</w:t>
            </w:r>
          </w:p>
        </w:tc>
        <w:tc>
          <w:tcPr>
            <w:tcW w:w="737" w:type="dxa"/>
            <w:shd w:val="clear" w:color="auto" w:fill="auto"/>
            <w:noWrap/>
          </w:tcPr>
          <w:p w14:paraId="11A71DB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94" w:type="dxa"/>
            <w:shd w:val="clear" w:color="auto" w:fill="auto"/>
            <w:noWrap/>
          </w:tcPr>
          <w:p w14:paraId="532C3F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386AD1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 PAH</w:t>
            </w:r>
          </w:p>
        </w:tc>
        <w:tc>
          <w:tcPr>
            <w:tcW w:w="1134" w:type="dxa"/>
          </w:tcPr>
          <w:p w14:paraId="40AC40C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ETAAS, FAAS, ICP-OES, HPLC</w:t>
            </w:r>
          </w:p>
        </w:tc>
        <w:tc>
          <w:tcPr>
            <w:tcW w:w="1134" w:type="dxa"/>
            <w:shd w:val="clear" w:color="auto" w:fill="auto"/>
            <w:noWrap/>
          </w:tcPr>
          <w:p w14:paraId="2B3EB7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HNO</w:t>
            </w:r>
            <w:r w:rsidRPr="00C9504C">
              <w:rPr>
                <w:rFonts w:ascii="Arial" w:hAnsi="Arial" w:cs="Arial"/>
                <w:sz w:val="20"/>
                <w:szCs w:val="20"/>
                <w:vertAlign w:val="subscript"/>
                <w:lang w:val="en-US"/>
              </w:rPr>
              <w:t>3</w:t>
            </w:r>
            <w:r w:rsidRPr="00C9504C">
              <w:rPr>
                <w:rFonts w:ascii="Arial" w:hAnsi="Arial" w:cs="Arial"/>
                <w:sz w:val="20"/>
                <w:szCs w:val="20"/>
                <w:lang w:val="en-US"/>
              </w:rPr>
              <w:t>, HF, HClO</w:t>
            </w:r>
            <w:r w:rsidRPr="00C9504C">
              <w:rPr>
                <w:rFonts w:ascii="Arial" w:hAnsi="Arial" w:cs="Arial"/>
                <w:sz w:val="20"/>
                <w:szCs w:val="20"/>
                <w:vertAlign w:val="subscript"/>
                <w:lang w:val="en-US"/>
              </w:rPr>
              <w:t>4</w:t>
            </w:r>
            <w:r w:rsidRPr="00C9504C">
              <w:rPr>
                <w:rFonts w:ascii="Arial" w:hAnsi="Arial" w:cs="Arial"/>
                <w:sz w:val="20"/>
                <w:szCs w:val="20"/>
                <w:lang w:val="en-US"/>
              </w:rPr>
              <w:t>, H</w:t>
            </w:r>
            <w:r w:rsidRPr="00C9504C">
              <w:rPr>
                <w:rFonts w:ascii="Arial" w:hAnsi="Arial" w:cs="Arial"/>
                <w:sz w:val="20"/>
                <w:szCs w:val="20"/>
                <w:vertAlign w:val="subscript"/>
                <w:lang w:val="en-US"/>
              </w:rPr>
              <w:t>2</w:t>
            </w:r>
            <w:r w:rsidRPr="00C9504C">
              <w:rPr>
                <w:rFonts w:ascii="Arial" w:hAnsi="Arial" w:cs="Arial"/>
                <w:sz w:val="20"/>
                <w:szCs w:val="20"/>
                <w:lang w:val="en-US"/>
              </w:rPr>
              <w:t xml:space="preserve">O, HCl; </w:t>
            </w:r>
          </w:p>
          <w:p w14:paraId="200C474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DCM</w:t>
            </w:r>
          </w:p>
        </w:tc>
        <w:tc>
          <w:tcPr>
            <w:tcW w:w="1077" w:type="dxa"/>
            <w:shd w:val="clear" w:color="auto" w:fill="auto"/>
            <w:noWrap/>
          </w:tcPr>
          <w:p w14:paraId="1217D50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37550E2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91</w:t>
            </w:r>
            <w:r w:rsidRPr="0085132E">
              <w:rPr>
                <w:rFonts w:ascii="Arial" w:hAnsi="Arial" w:cs="Arial"/>
                <w:color w:val="000000" w:themeColor="text1"/>
                <w:sz w:val="20"/>
                <w:szCs w:val="20"/>
                <w:lang w:val="en-US"/>
              </w:rPr>
              <w:t>%</w:t>
            </w:r>
            <w:r w:rsidRPr="00C9504C">
              <w:rPr>
                <w:rFonts w:ascii="Arial" w:hAnsi="Arial" w:cs="Arial"/>
                <w:sz w:val="20"/>
                <w:szCs w:val="20"/>
                <w:lang w:val="en-US"/>
              </w:rPr>
              <w:t>−101% for metals,</w:t>
            </w:r>
          </w:p>
          <w:p w14:paraId="550D55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92% for PAHs</w:t>
            </w:r>
          </w:p>
        </w:tc>
        <w:tc>
          <w:tcPr>
            <w:tcW w:w="907" w:type="dxa"/>
          </w:tcPr>
          <w:p w14:paraId="7B8952B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NIST SRM 1648a, NIST SRM 1649b</w:t>
            </w:r>
          </w:p>
        </w:tc>
        <w:tc>
          <w:tcPr>
            <w:tcW w:w="1247" w:type="dxa"/>
          </w:tcPr>
          <w:p w14:paraId="5E385A7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BTA, EF</w:t>
            </w:r>
          </w:p>
        </w:tc>
        <w:tc>
          <w:tcPr>
            <w:tcW w:w="907" w:type="dxa"/>
          </w:tcPr>
          <w:p w14:paraId="32F2F1B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{"citationID":"mQoyGicp","properties":{"formattedCitation":"(70)","plainCitation":"(70)","dontUpdate":true,"noteIndex":0},"citationItems":[{"id":763,"uris":["http://zotero.org/users/12446040/items/JMMXZZ9K"],"itemData":{"id":763,"type":"article-journal","abstract":"The seasonal changes in ambient mass concentrations and chemical composition of fine particulate matter (PM2.5) were investigated in three locations in Poland. The analyses included PM2.5-bound hazardous benzo(a)pyrene (BaP), As, Ni, Cd, and Pb. The samples of PM2.5 were collected daily in Katowice (southern Poland, urban background site), Gdańsk, and Diabla Góra (northern Poland, urban and regional background sites, respectively) during 1-year-long campaign in 2010. Based on monthly ambient concentrations of PM2.5-bound carbon (organic and elemental), water-soluble ions (Na+, NH4+, K+, Mg2+, Ca2+, Cl−, NO3−, SO42−), and elements As, Ni, Cd, Pb, Ti, Al, Fe, the chemical mass closure of PM2.5 was checked for each of the four seasons of the year and for the heating and non-heating periods at each site. Also, the annual concentrations of PM2.5 were determined and the annual PM2.5 mass closure checked. At each measuring point, the PM2.5 concentrations were high compared to its Polish yearly permissible value, 25 μg/m3, and its concentrations elsewhere in Europe. The highest annual PM2.5 concentration, 43 μg/m3, occurred in Katowice; it was twice the annual PM2.5 concentration in Gdańsk, and thrice the one in Diabla Góra. The high annual averages were due to very high monthly concentrations in the heating period, which were highest in the winter. PM2.5 consisted mainly of carbonaceous matter (elemental carbon (EC) + organic matter (OM), the sum of elemental carbon, EC, and organic matter, OM; its annual mass contributions to PM2.5 were 43, 31, and 33 % in Katowice, Gdansk, and Diabla Góra, respectively), secondary inorganic aerosol (SIA), the Na_Cl group, and crustal matter (CM)—in the decreasing order of their yearly mass contributions to PM2.5. OM, EC, SIA, Na_Cl, and CM accounted for almost 81 % of the PM2.5 mass in Katowice, 74 % in Gdańsk, and 90 % in Diabla Góra. The annual average toxic metal contribution to the PM2.5 mass was not greater than 0.2 % at each site. In Katowice and Gdańsk, the yearly ambient BaP concentrations were high (15.4 and 3.2 ng/m3, respectively); in rural Diabla Góra, the concentrations of BaP were almost equal to 1 ng/m3, the Polish BaP annual limit. The great seasonal fluctuations of the shares of the component groups in PM2.5 and of the concentrations of PM2.5 and its components are due to the seasonal fluctuations of the emissions of PM and its precursors from hard and brown coal combustion for energy production, growing in a heating season, reaching maximum in winter, and decreasing in a non-heating period. In Gdańsk, northern Poland, especially in the spring and autumn, sea spray might have affected the chemical composition of PM2.5. The greatest hazard from PM2.5 occurs in Katowice, southern Poland, in winter, when very high concentrations of PM2.5 and PM2.5-related carbonaceous matter, including BaP, are maintained by poor natural ventilation in cities, weather conditions, and the highest level of industrialization in Poland. In less industrialized northern Poland, where the aeration in cities is better and rather gaseous than solid fuels are used, the health hazard from ambient PM2.5 is much lower.","container-title":"Air Quality, Atmosphere &amp; Health","DOI":"10.1007/s11869-013-0222-y","ISSN":"1873-9326","issue":"1","journalAbbreviation":"Air Qual Atmos Health","language":"en","page":"41-58","source":"Springer Link","title":"Spatial and seasonal variability of the mass concentration and chemical composition of PM2.5 in Poland","volume":"7","author":[{"family":"Rogula-Kozłowska","given":"Wioletta"},{"family":"Klejnowski","given":"Krzysztof"},{"family":"Rogula-Kopiec","given":"Patrycja"},{"family":"Ośródka","given":"Leszek"},{"family":"Krajny","given":"Ewa"},{"family":"Błaszczak","given":"Barbara"},{"family":"Mathews","given":"Barbara"}],"issued":{"date-parts":[["2014",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[70]</w:t>
            </w:r>
            <w:r w:rsidRPr="00C9504C">
              <w:rPr>
                <w:rFonts w:ascii="Arial" w:hAnsi="Arial" w:cs="Arial"/>
                <w:sz w:val="20"/>
                <w:szCs w:val="20"/>
              </w:rPr>
              <w:fldChar w:fldCharType="end"/>
            </w:r>
          </w:p>
        </w:tc>
      </w:tr>
      <w:tr w:rsidR="006751F9" w:rsidRPr="00AE1E24" w14:paraId="6783E1B6" w14:textId="77777777" w:rsidTr="00420FF2">
        <w:trPr>
          <w:trHeight w:val="300"/>
          <w:jc w:val="center"/>
        </w:trPr>
        <w:tc>
          <w:tcPr>
            <w:tcW w:w="737" w:type="dxa"/>
            <w:shd w:val="clear" w:color="auto" w:fill="auto"/>
            <w:noWrap/>
          </w:tcPr>
          <w:p w14:paraId="2F49647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p>
        </w:tc>
        <w:tc>
          <w:tcPr>
            <w:tcW w:w="1417" w:type="dxa"/>
            <w:shd w:val="clear" w:color="auto" w:fill="auto"/>
            <w:noWrap/>
          </w:tcPr>
          <w:p w14:paraId="2DA0A3A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Agra, Iran</w:t>
            </w:r>
          </w:p>
        </w:tc>
        <w:tc>
          <w:tcPr>
            <w:tcW w:w="1191" w:type="dxa"/>
            <w:shd w:val="clear" w:color="auto" w:fill="auto"/>
            <w:noWrap/>
          </w:tcPr>
          <w:p w14:paraId="06B2A61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0E99AB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Mar. 2016–Mar. 2017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385CBD7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8DDEE2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16.7 L min</w:t>
            </w:r>
            <w:r w:rsidRPr="00C9504C">
              <w:rPr>
                <w:rFonts w:ascii="Arial" w:hAnsi="Arial" w:cs="Arial"/>
                <w:sz w:val="20"/>
                <w:szCs w:val="20"/>
                <w:vertAlign w:val="superscript"/>
                <w:lang w:val="en-US"/>
              </w:rPr>
              <w:t>−1</w:t>
            </w:r>
          </w:p>
        </w:tc>
        <w:tc>
          <w:tcPr>
            <w:tcW w:w="794" w:type="dxa"/>
            <w:shd w:val="clear" w:color="auto" w:fill="auto"/>
            <w:noWrap/>
          </w:tcPr>
          <w:p w14:paraId="5506192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600800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3C3B8A1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532D8B7E"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HP with HNO</w:t>
            </w:r>
            <w:r w:rsidRPr="00C9504C">
              <w:rPr>
                <w:rFonts w:ascii="Arial" w:hAnsi="Arial" w:cs="Arial"/>
                <w:sz w:val="20"/>
                <w:szCs w:val="20"/>
                <w:vertAlign w:val="subscript"/>
                <w:lang w:val="en-US"/>
              </w:rPr>
              <w:t>3</w:t>
            </w:r>
          </w:p>
        </w:tc>
        <w:tc>
          <w:tcPr>
            <w:tcW w:w="1077" w:type="dxa"/>
            <w:shd w:val="clear" w:color="auto" w:fill="auto"/>
            <w:noWrap/>
          </w:tcPr>
          <w:p w14:paraId="154D3346"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907" w:type="dxa"/>
          </w:tcPr>
          <w:p w14:paraId="4DB4B761"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28EBF1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EF, LADD, DAD, HQ, ILCR, HCA, PCA</w:t>
            </w:r>
          </w:p>
        </w:tc>
        <w:tc>
          <w:tcPr>
            <w:tcW w:w="907" w:type="dxa"/>
          </w:tcPr>
          <w:p w14:paraId="7EAA54C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{"citationID":"rtiQ71FZ","properties":{"formattedCitation":"(10)","plainCitation":"(10)","dontUpdate":true,"noteIndex":0},"citationItems":[{"id":1061,"uris":["http://zotero.org/users/12446040/items/TJAU2IU2"],"itemData":{"id":1061,"type":"article-journal","abstract":"This study assesses the heavy metal (Pb, Zn, Ni, Fe, Mn, Cr, Cd, As, Co and Cu) concentrations in PM10 in Agra, India. The analysis of heavy metals was carried out by Inductively Coupled Plasma-Mass Spectrometer (ICP-MS) after digestion of quartz fiber filter paper. The annual mean concentration for PM10 was 214.61 μg m−3 and higher than WHO and NAAQS limit. The results showed mean value of heavy metals followed the order: Fe &gt; Zn &gt; Cr &gt; Mn &gt; Pb &gt; Ni &gt; Cu &gt; Co &gt; As&gt;Cd. The carcinogenic risks of As, Cd, Co, Cr, Pb and Ni for both children and adults via dermal contact and ingestion exposure were within the acceptable level (&lt;1 × 10−4). Co showed potential carcinogenic risk only for adults and Cr for both children and adults via inhalation. The HQ values for Cr, Mn, Fe, Ni, Cu, Zn, As, Pb and Cd via ingestion and dermal contact exposure for both children and adults were all lower than the safe level. The HQ values for Mn, Co, Ni and As to both children and adults via inhalation and for Co to only children via ingestion exposure were higher than the safe level. The source identification was confirmed through enrichment factor (EF), cluster analysis (CA) and principal component analysis (PCA).","container-title":"Urban Climate","DOI":"10.1016/j.uclim.2018.11.010","ISSN":"2212-0955","journalAbbreviation":"Urban Climate","page":"149-162","source":"ScienceDirect","title":"Pollution characteristics, human health risk through multiple exposure pathways, and source apportionment of heavy metals in PM10 at Indo-Gangetic site","volume":"27","author":[{"family":"Sah","given":"Dinesh"},{"family":"Verma","given":"Puneet Kumar"},{"family":"Kandikonda","given":"Maharaj Kumari"},{"family":"Lakhani","given":"Anita"}],"issued":{"date-parts":[["2019",3,1]]}}}],"schema":"https://github.com/citation-style-language/schema/raw/master/csl-citation.json"}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]10]</w:t>
            </w:r>
            <w:r w:rsidRPr="00C9504C">
              <w:rPr>
                <w:rFonts w:ascii="Arial" w:hAnsi="Arial" w:cs="Arial"/>
                <w:sz w:val="20"/>
                <w:szCs w:val="20"/>
              </w:rPr>
              <w:fldChar w:fldCharType="end"/>
            </w:r>
          </w:p>
        </w:tc>
      </w:tr>
      <w:tr w:rsidR="006751F9" w:rsidRPr="00AE1E24" w14:paraId="1E3A1689" w14:textId="77777777" w:rsidTr="00420FF2">
        <w:trPr>
          <w:trHeight w:val="300"/>
          <w:jc w:val="center"/>
        </w:trPr>
        <w:tc>
          <w:tcPr>
            <w:tcW w:w="737" w:type="dxa"/>
            <w:shd w:val="clear" w:color="auto" w:fill="auto"/>
            <w:noWrap/>
          </w:tcPr>
          <w:p w14:paraId="4976E79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19FA2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Karachi, Pakistan</w:t>
            </w:r>
          </w:p>
        </w:tc>
        <w:tc>
          <w:tcPr>
            <w:tcW w:w="1191" w:type="dxa"/>
            <w:shd w:val="clear" w:color="auto" w:fill="auto"/>
            <w:noWrap/>
          </w:tcPr>
          <w:p w14:paraId="1422A6B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1062714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Nov. 2010–Jun. 2011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2B9F9BF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252FF66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16.7 L min</w:t>
            </w:r>
            <w:r w:rsidRPr="00C9504C">
              <w:rPr>
                <w:rFonts w:ascii="Arial" w:hAnsi="Arial" w:cs="Arial"/>
                <w:sz w:val="20"/>
                <w:szCs w:val="20"/>
                <w:vertAlign w:val="superscript"/>
                <w:lang w:val="en-US"/>
              </w:rPr>
              <w:t>−1</w:t>
            </w:r>
          </w:p>
        </w:tc>
        <w:tc>
          <w:tcPr>
            <w:tcW w:w="794" w:type="dxa"/>
            <w:shd w:val="clear" w:color="auto" w:fill="auto"/>
            <w:noWrap/>
          </w:tcPr>
          <w:p w14:paraId="3C0D92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6FB2AAF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34552CB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ED-XRF</w:t>
            </w:r>
          </w:p>
        </w:tc>
        <w:tc>
          <w:tcPr>
            <w:tcW w:w="1134" w:type="dxa"/>
            <w:shd w:val="clear" w:color="auto" w:fill="auto"/>
            <w:noWrap/>
          </w:tcPr>
          <w:p w14:paraId="42A0DC1E"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077" w:type="dxa"/>
            <w:shd w:val="clear" w:color="auto" w:fill="auto"/>
            <w:noWrap/>
          </w:tcPr>
          <w:p w14:paraId="302945DD"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907" w:type="dxa"/>
          </w:tcPr>
          <w:p w14:paraId="3A69F665"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0E1E42A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EF, PMF, BTA</w:t>
            </w:r>
          </w:p>
        </w:tc>
        <w:tc>
          <w:tcPr>
            <w:tcW w:w="907" w:type="dxa"/>
          </w:tcPr>
          <w:p w14:paraId="39EEEE5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{"citationID":"REebXLUg","properties":{"formattedCitation":"(71)","plainCitation":"(71)","dontUpdate":true,"noteIndex":0},"citationItems":[{"id":1394,"uris":["http://zotero.org/users/12446040/items/R9AKSK2M"],"itemData":{"id":1394,"type":"article-journal","abstract":"With 24 million inhabitants and 6.6 million vehicles on the roads, Karachi, Pakistan ranks among the world's most polluted cities due to high levels of fine particulate matter (PM2.5). This study aims to investigate PM2.5 mass, seasonal and temporal variability, chemical characterization, source apportionment, and health risk assessment at two urban sites in Karachi. Samples were analyzed using ion chromatography and dual-wavelength optical transmissometer for various inorganic components (anions, cations, and trace elements) and black carbon (BC). Several PM2.5 pollution episodes were frequently observed, with annual mean concentrations at Kemari (140 ± 179 μg/m3) and Malir (95 ± 40.9 μg/m3) being significantly above the World Health Organization's guidelines of 5 μg/m3. Chemical composition at both sites exhibited seasonal variability, with higher pollution levels in winter and fall and lower concentrations in summer. The annual average BC concentrations were 4.86 ± 5.29 μg/m3 and 4.52 ± 3.68 μg/m3, respectively. A Positive Matrix Factorization (PMF) analysis identified 5 factors, crustal, sea salt, vehicular exhaust, fossil-fuel combustion, and industrial emission. The health risk assessment indicated a higher number of deaths in colder seasons (fall and winter) at the Kemari (328,794 and 287,814) and Malir (228,406 and 165,737) sites and potential non-carcinogenic and carcinogenic risks to children from metals. The non-carcinogenic risk of PM2.5 bound Pb, Fe, Zn, Mn, Cr, Cu and Ni via inhalation exposure were within the acceptable level (&lt;1) for adults. However, potential non-carcinogenic and carcinogenic health risk posed by Pb and Cr through inhalation were observed for children. The findings exhibit critical levels of air pollution that exceed the safe limits in Karachi, posing significant health risks to children and sensitive groups. Our study underscores the urgent need for effective emission control strategies and policy interventions to mitigate these air pollution risks.","container-title":"Science of The Total Environment","DOI":"10.1016/j.scitotenv.2024.173403","ISSN":"0048-9697","journalAbbreviation":"Science of The Total Environment","page":"173403","source":"ScienceDirect","title":"Air pollution we breathe: Assessing the air quality and human health impact in a megacity of Southeast Asia","title-short":"Air pollution we breathe","volume":"942","author":[{"family":"Sannoh","given":"Fatim"},{"family":"Fatmi","given":"Zafar"},{"family":"Carpenter","given":"David O."},{"family":"Santoso","given":"Muhayatun"},{"family":"Siddique","given":"Azhar"},{"family":"Khan","given":"Kamran"},{"family":"Zeb","given":"Jahan"},{"family":"Hussain","given":"Mirza M."},{"family":"Khwaja","given":"Haider A."}],"issued":{"date-parts":[["2024",9,10]]}}}],"schema":"https://github.com/citation-style-language/schema/raw/master/csl-citation.json"}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[71]</w:t>
            </w:r>
            <w:r w:rsidRPr="00C9504C">
              <w:rPr>
                <w:rFonts w:ascii="Arial" w:hAnsi="Arial" w:cs="Arial"/>
                <w:sz w:val="20"/>
                <w:szCs w:val="20"/>
              </w:rPr>
              <w:fldChar w:fldCharType="end"/>
            </w:r>
          </w:p>
        </w:tc>
      </w:tr>
      <w:tr w:rsidR="006751F9" w:rsidRPr="00AE1E24" w14:paraId="3F235303" w14:textId="77777777" w:rsidTr="00420FF2">
        <w:trPr>
          <w:trHeight w:val="300"/>
          <w:jc w:val="center"/>
        </w:trPr>
        <w:tc>
          <w:tcPr>
            <w:tcW w:w="737" w:type="dxa"/>
            <w:shd w:val="clear" w:color="auto" w:fill="auto"/>
            <w:noWrap/>
          </w:tcPr>
          <w:p w14:paraId="357F4F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9</w:t>
            </w:r>
            <w:r w:rsidRPr="00C9504C">
              <w:rPr>
                <w:rFonts w:ascii="Arial" w:hAnsi="Arial" w:cs="Arial"/>
                <w:sz w:val="20"/>
                <w:szCs w:val="20"/>
                <w:lang w:val="en-US"/>
              </w:rPr>
              <w:t>–PM</w:t>
            </w:r>
            <w:r w:rsidRPr="00C9504C">
              <w:rPr>
                <w:rFonts w:ascii="Arial" w:hAnsi="Arial" w:cs="Arial"/>
                <w:sz w:val="20"/>
                <w:szCs w:val="20"/>
                <w:vertAlign w:val="subscript"/>
                <w:lang w:val="en-US"/>
              </w:rPr>
              <w:t>0.43</w:t>
            </w:r>
          </w:p>
        </w:tc>
        <w:tc>
          <w:tcPr>
            <w:tcW w:w="1417" w:type="dxa"/>
            <w:shd w:val="clear" w:color="auto" w:fill="auto"/>
            <w:noWrap/>
          </w:tcPr>
          <w:p w14:paraId="701C910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Shenyang, </w:t>
            </w:r>
            <w:proofErr w:type="spellStart"/>
            <w:r w:rsidRPr="00C9504C">
              <w:rPr>
                <w:rFonts w:ascii="Arial" w:hAnsi="Arial" w:cs="Arial"/>
                <w:sz w:val="20"/>
                <w:szCs w:val="20"/>
                <w:lang w:val="en-US"/>
              </w:rPr>
              <w:t>Xianghe</w:t>
            </w:r>
            <w:proofErr w:type="spellEnd"/>
            <w:r w:rsidRPr="00C9504C">
              <w:rPr>
                <w:rFonts w:ascii="Arial" w:hAnsi="Arial" w:cs="Arial"/>
                <w:sz w:val="20"/>
                <w:szCs w:val="20"/>
                <w:lang w:val="en-US"/>
              </w:rPr>
              <w:t xml:space="preserve">, Xinglong, Yantai, </w:t>
            </w:r>
            <w:proofErr w:type="spellStart"/>
            <w:r w:rsidRPr="00C9504C">
              <w:rPr>
                <w:rFonts w:ascii="Arial" w:hAnsi="Arial" w:cs="Arial"/>
                <w:sz w:val="20"/>
                <w:szCs w:val="20"/>
                <w:lang w:val="en-US"/>
              </w:rPr>
              <w:t>Fukang</w:t>
            </w:r>
            <w:proofErr w:type="spellEnd"/>
            <w:r w:rsidRPr="00C9504C">
              <w:rPr>
                <w:rFonts w:ascii="Arial" w:hAnsi="Arial" w:cs="Arial"/>
                <w:sz w:val="20"/>
                <w:szCs w:val="20"/>
                <w:lang w:val="en-US"/>
              </w:rPr>
              <w:t xml:space="preserve">, Yucheng, </w:t>
            </w:r>
            <w:r w:rsidRPr="00C9504C">
              <w:rPr>
                <w:rFonts w:ascii="Arial" w:hAnsi="Arial" w:cs="Arial"/>
                <w:sz w:val="20"/>
                <w:szCs w:val="20"/>
                <w:lang w:val="en-US"/>
              </w:rPr>
              <w:lastRenderedPageBreak/>
              <w:t xml:space="preserve">Chongqing, Changsha, Lhasa, </w:t>
            </w:r>
            <w:proofErr w:type="spellStart"/>
            <w:r w:rsidRPr="00C9504C">
              <w:rPr>
                <w:rFonts w:ascii="Arial" w:hAnsi="Arial" w:cs="Arial"/>
                <w:sz w:val="20"/>
                <w:szCs w:val="20"/>
                <w:lang w:val="en-US"/>
              </w:rPr>
              <w:t>Dinghushan</w:t>
            </w:r>
            <w:proofErr w:type="spellEnd"/>
            <w:r w:rsidRPr="00C9504C">
              <w:rPr>
                <w:rFonts w:ascii="Arial" w:hAnsi="Arial" w:cs="Arial"/>
                <w:sz w:val="20"/>
                <w:szCs w:val="20"/>
                <w:lang w:val="en-US"/>
              </w:rPr>
              <w:t>, China</w:t>
            </w:r>
          </w:p>
        </w:tc>
        <w:tc>
          <w:tcPr>
            <w:tcW w:w="1191" w:type="dxa"/>
            <w:shd w:val="clear" w:color="auto" w:fill="auto"/>
            <w:noWrap/>
          </w:tcPr>
          <w:p w14:paraId="12F445C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lastRenderedPageBreak/>
              <w:t>nr</w:t>
            </w:r>
          </w:p>
        </w:tc>
        <w:tc>
          <w:tcPr>
            <w:tcW w:w="1134" w:type="dxa"/>
            <w:shd w:val="clear" w:color="auto" w:fill="auto"/>
            <w:noWrap/>
          </w:tcPr>
          <w:p w14:paraId="4024EE5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2013–Dec. 2014 (52)</w:t>
            </w:r>
          </w:p>
        </w:tc>
        <w:tc>
          <w:tcPr>
            <w:tcW w:w="1134" w:type="dxa"/>
            <w:shd w:val="clear" w:color="auto" w:fill="auto"/>
            <w:noWrap/>
          </w:tcPr>
          <w:p w14:paraId="63D7F7F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6F5084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28.3 L min</w:t>
            </w:r>
            <w:r w:rsidRPr="00C9504C">
              <w:rPr>
                <w:rFonts w:ascii="Arial" w:hAnsi="Arial" w:cs="Arial"/>
                <w:sz w:val="20"/>
                <w:szCs w:val="20"/>
                <w:vertAlign w:val="superscript"/>
                <w:lang w:val="en-US"/>
              </w:rPr>
              <w:t>−1</w:t>
            </w:r>
          </w:p>
        </w:tc>
        <w:tc>
          <w:tcPr>
            <w:tcW w:w="794" w:type="dxa"/>
            <w:shd w:val="clear" w:color="auto" w:fill="auto"/>
            <w:noWrap/>
          </w:tcPr>
          <w:p w14:paraId="7EF1CDA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1D6A730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17CBAFC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7C235622"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UAE with DCM, MeOH</w:t>
            </w:r>
          </w:p>
        </w:tc>
        <w:tc>
          <w:tcPr>
            <w:tcW w:w="1077" w:type="dxa"/>
            <w:shd w:val="clear" w:color="auto" w:fill="auto"/>
            <w:noWrap/>
          </w:tcPr>
          <w:p w14:paraId="72AC45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55EC351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75</w:t>
            </w:r>
            <w:r w:rsidRPr="0085132E">
              <w:rPr>
                <w:rFonts w:ascii="Arial" w:hAnsi="Arial" w:cs="Arial"/>
                <w:color w:val="000000" w:themeColor="text1"/>
                <w:sz w:val="20"/>
                <w:szCs w:val="20"/>
                <w:lang w:val="en-US"/>
              </w:rPr>
              <w:t>%</w:t>
            </w:r>
            <w:r w:rsidRPr="00C9504C">
              <w:rPr>
                <w:rFonts w:ascii="Arial" w:hAnsi="Arial" w:cs="Arial"/>
                <w:sz w:val="20"/>
                <w:szCs w:val="20"/>
                <w:lang w:val="en-US"/>
              </w:rPr>
              <w:t>−120% RSD:</w:t>
            </w:r>
          </w:p>
          <w:p w14:paraId="61BD1575"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&lt;10%</w:t>
            </w:r>
          </w:p>
        </w:tc>
        <w:tc>
          <w:tcPr>
            <w:tcW w:w="907" w:type="dxa"/>
          </w:tcPr>
          <w:p w14:paraId="2DED1780"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7BAB55D9"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w:t>
            </w:r>
          </w:p>
        </w:tc>
        <w:tc>
          <w:tcPr>
            <w:tcW w:w="907" w:type="dxa"/>
          </w:tcPr>
          <w:p w14:paraId="7709698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oPuSqoPk","properties":{"formattedCitation":"(72)","plainCitation":"(72)","dontUpdate":true,"noteIndex":0},"citationItems":[{"id":"HbwwkMxO/kyDt4wsV","uris":["http://zotero.org/users/12446040/items/BSNUS9R4"],"itemData":{"id":276,"type":"article-journal","abstract":"Polycyclic aromatic hydrocarbons (PAHs) associated with size-segregated particulate matter at 10 sampling sites over China which can be grouped into North China and South China, including urban site, sub-urban site, farmland site and background site, from January 2013 to December 2014 were analyzed by Gas Chromatography - Mass Spectrometry. This is the first time for comprehensive studies on the size-segregated PAHs at the national level. The spatial variations of particulate PAHs showed that Xinaghe (XH), Yucheng (YC) and Shenyang (SHY) in North China had higher particulate PAHs mass concentrations than other sampling sites. The seasonal variations of PAHs exhibited the highest mass concentrations in winter, which could be caused by the increase in emission, lower temperatures and weaker solar radiation. Particulate PAHs were found to be dominant in fine size range of &lt;1.1 μm, the same as individual PAH compounds. The dominant species in particulate PAHs are benzo[b + k]fluoranthene (BBKF), indeno[1,2,3-cd]pyrene (IP) and benzo[g,h,i]perylene (BghiP), indicating that fossil fuel combustion could be an important source for PAHs over China. BaP, a carcinogen to humans, also had much higher mass concentrations at XH, SHY and YC in North China than other sites. Toxicity equivalent quantities (TEQ) and the lifetime excess cancer risk (ECR) analysis showed that XH, SHY and YC in North China suffered more serious health risk from PAHs than other sites. In addition, higher TEQ and higher ECR were found in the size range of &lt;1.1 μm, indicating that finer particles are associated with higher toxicity.","container-title":"The Science of the Total Environment","DOI":"10.1016/j.scitotenv.2019.05.436","ISSN":"1879-1026","journalAbbreviation":"Sci Total Environ","language":"eng","note":"PMID: 31174111","page":"116-123","source":"PubMed","title":"Size-segregated particulate matter bound polycyclic aromatic hydrocarbons (PAHs) over China: Size distribution, characteristics and health risk assessment","title-short":"Size-segregated particulate matter bound polycyclic aromatic hydrocarbons (PAHs) over China","volume":"685","author":[{"family":"Shen","given":"Rongrong"},{"family":"Wang","given":"Yuesi"},{"family":"Gao","given":"Wenkang"},{"family":"Cong","given":"Xiaoguang"},{"family":"Cheng","given":"Linglong"},{"family":"Li","given":"Xingru"}],"issued":{"date-parts":[["2019",10,1]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[72</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026BC1E7" w14:textId="77777777" w:rsidTr="00420FF2">
        <w:trPr>
          <w:trHeight w:val="300"/>
          <w:jc w:val="center"/>
        </w:trPr>
        <w:tc>
          <w:tcPr>
            <w:tcW w:w="737" w:type="dxa"/>
            <w:shd w:val="clear" w:color="auto" w:fill="auto"/>
            <w:noWrap/>
          </w:tcPr>
          <w:p w14:paraId="49347F9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7E10AEF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Chengdu, China</w:t>
            </w:r>
          </w:p>
        </w:tc>
        <w:tc>
          <w:tcPr>
            <w:tcW w:w="1191" w:type="dxa"/>
            <w:shd w:val="clear" w:color="auto" w:fill="auto"/>
            <w:noWrap/>
          </w:tcPr>
          <w:p w14:paraId="6114CFA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76704EF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2011–2012 (192)</w:t>
            </w:r>
          </w:p>
        </w:tc>
        <w:tc>
          <w:tcPr>
            <w:tcW w:w="1134" w:type="dxa"/>
            <w:shd w:val="clear" w:color="auto" w:fill="auto"/>
            <w:noWrap/>
          </w:tcPr>
          <w:p w14:paraId="4D91D3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MVS</w:t>
            </w:r>
          </w:p>
        </w:tc>
        <w:tc>
          <w:tcPr>
            <w:tcW w:w="737" w:type="dxa"/>
            <w:shd w:val="clear" w:color="auto" w:fill="auto"/>
            <w:noWrap/>
          </w:tcPr>
          <w:p w14:paraId="6E693FA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tcPr>
          <w:p w14:paraId="56BB22C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432597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7A9E883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2EDC6DFD"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SOE with Tol</w:t>
            </w:r>
          </w:p>
        </w:tc>
        <w:tc>
          <w:tcPr>
            <w:tcW w:w="1077" w:type="dxa"/>
            <w:shd w:val="clear" w:color="auto" w:fill="auto"/>
            <w:noWrap/>
          </w:tcPr>
          <w:p w14:paraId="59744BD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5D8D60A6"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74</w:t>
            </w:r>
            <w:r w:rsidRPr="0085132E">
              <w:rPr>
                <w:rFonts w:ascii="Arial" w:hAnsi="Arial" w:cs="Arial"/>
                <w:color w:val="000000" w:themeColor="text1"/>
                <w:sz w:val="20"/>
                <w:szCs w:val="20"/>
                <w:lang w:val="en-US"/>
              </w:rPr>
              <w:t>%</w:t>
            </w:r>
            <w:r w:rsidRPr="00C9504C">
              <w:rPr>
                <w:rFonts w:ascii="Arial" w:hAnsi="Arial" w:cs="Arial"/>
                <w:sz w:val="20"/>
                <w:szCs w:val="20"/>
                <w:lang w:val="en-US"/>
              </w:rPr>
              <w:t>−113%</w:t>
            </w:r>
          </w:p>
        </w:tc>
        <w:tc>
          <w:tcPr>
            <w:tcW w:w="907" w:type="dxa"/>
          </w:tcPr>
          <w:p w14:paraId="13C1A456"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06CA3D87"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UNMIX, DR</w:t>
            </w:r>
          </w:p>
        </w:tc>
        <w:tc>
          <w:tcPr>
            <w:tcW w:w="907" w:type="dxa"/>
          </w:tcPr>
          <w:p w14:paraId="17A726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pj1ZrWFf","properties":{"formattedCitation":"(73)","plainCitation":"(73)","dontUpdate":true,"noteIndex":0},"citationItems":[{"id":1181,"uris":["http://zotero.org/users/12446040/items/AJ57BLTK"],"itemData":{"id":1181,"type":"article-journal","abstract":"Concentrations of particulate matter with an aerodynamic diameter less than 10 μm (PM10) and PM with an aerodynamic diameter less than 2.5 μm (PM2.5), and 16 polycyclic aromatic hydrocarbons (PAHs) were measured. The average concentrations of PM10 and PM2.5 reached 209.75 μg/m3 and 141.87 μg/m3, respectively, and those of ΣPAHs were 41.46 ng/m3 for PM10 and 36.77 ng/m3 for PM2.5. The mass ratio concentrations were 219.23 μg/g and 311.01 μg/g in PM10 and PM2.5, respectively. Three sources and their contributions for PAHs were obtained. For individual input mode, diesel exhaust contributed 46.77% (PM10) and 41.12% (PM2.5) for mass concentration and 48.69% (PM10) and 39.47% (PM2.5) for mass ratio concentration; gasoline exhaust contributed 31.02% (PM10) and 39.47% (PM2.5) for mass concentration and 28.95% (PM10) and 36.46% (PM2.5) for mass ratio concentration; and coal combustion contributed 22.22% (PM10) and 19.41% (PM2.5) for mass concentration and 22.36% (PM10) and 15.89% (PM2.5) for mass ratio concentration. For combined input mode, the same source categories were obtained. Source contributions to PM10 and PM2.5 were diesel exhaust (40.70% and 36.64%, respectively, for mass concentration; 49.19% and 38.47%, respectively, for mass ratio concentration), gasoline exhaust (35.09% and 38.47%, respectively, for mass concentration; 32.50% and 33.43%, respectively, for mass ratio concentration), and coal combustion (24.21% and 24.89%, respectively, for mass concentration; 18.31% and18.17%, respectively, for mass ratio concentration). Source risk assessment showed that vehicle emission was a significant contributor. The findings can help elucidate sources of PAHs and provide evidence supporting further applications of the Unmix model and additional studies about PAHs. Environ Toxicol Chem 2015;34:480–487. © 2014 SETAC","container-title":"Environmental Toxicology and Chemistry","DOI":"10.1002/etc.2809","ISSN":"1552-8618","issue":"3","language":"en","license":"© 2014 SETAC","note":"_eprint: https://onlinelibrary.wiley.com/doi/pdf/10.1002/etc.2809","page":"480-487","source":"Wiley Online Library","title":"Further insights into the composition, source, and toxicity of PAHs in size-resolved particulate matter in a megacity in China","volume":"34","author":[{"family":"Shi","given":"Guo-Liang"},{"family":"Zhou","given":"Xiao-Yu"},{"family":"Jiang","given":"Su-Yang"},{"family":"Tian","given":"Ying-Ze"},{"family":"Liu","given":"Gui-Rong"},{"family":"Feng","given":"Yin-Chang"},{"family":"Chen","given":"Gang"},{"family":"Liang","given":"Yang-Ke-Xin"}],"issued":{"date-parts":[["2015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[73]</w:t>
            </w:r>
            <w:r w:rsidRPr="00C9504C">
              <w:rPr>
                <w:rFonts w:ascii="Arial" w:hAnsi="Arial" w:cs="Arial"/>
                <w:sz w:val="20"/>
                <w:szCs w:val="20"/>
              </w:rPr>
              <w:fldChar w:fldCharType="end"/>
            </w:r>
          </w:p>
        </w:tc>
      </w:tr>
      <w:tr w:rsidR="006751F9" w:rsidRPr="00AE1E24" w14:paraId="4D146904" w14:textId="77777777" w:rsidTr="00420FF2">
        <w:trPr>
          <w:trHeight w:val="300"/>
          <w:jc w:val="center"/>
        </w:trPr>
        <w:tc>
          <w:tcPr>
            <w:tcW w:w="737" w:type="dxa"/>
            <w:shd w:val="clear" w:color="auto" w:fill="auto"/>
            <w:noWrap/>
          </w:tcPr>
          <w:p w14:paraId="7AFA741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544608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Delhi, India</w:t>
            </w:r>
          </w:p>
        </w:tc>
        <w:tc>
          <w:tcPr>
            <w:tcW w:w="1191" w:type="dxa"/>
            <w:shd w:val="clear" w:color="auto" w:fill="auto"/>
            <w:noWrap/>
          </w:tcPr>
          <w:p w14:paraId="5B3851F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1AAC733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Apr. 2013–Mar. 2014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64CD48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325F19B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 L s</w:t>
            </w:r>
            <w:r w:rsidRPr="00C9504C">
              <w:rPr>
                <w:rFonts w:ascii="Arial" w:hAnsi="Arial" w:cs="Arial"/>
                <w:sz w:val="20"/>
                <w:szCs w:val="20"/>
                <w:vertAlign w:val="superscript"/>
                <w:lang w:val="en-US"/>
              </w:rPr>
              <w:t>−1</w:t>
            </w:r>
          </w:p>
        </w:tc>
        <w:tc>
          <w:tcPr>
            <w:tcW w:w="794" w:type="dxa"/>
            <w:shd w:val="clear" w:color="auto" w:fill="auto"/>
            <w:noWrap/>
          </w:tcPr>
          <w:p w14:paraId="056B59B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025D136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47BE15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GS-MS</w:t>
            </w:r>
          </w:p>
        </w:tc>
        <w:tc>
          <w:tcPr>
            <w:tcW w:w="1134" w:type="dxa"/>
            <w:shd w:val="clear" w:color="auto" w:fill="auto"/>
            <w:noWrap/>
          </w:tcPr>
          <w:p w14:paraId="623AB49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012F1B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073A7B9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69A3DC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ILCR, LLE</w:t>
            </w:r>
          </w:p>
        </w:tc>
        <w:tc>
          <w:tcPr>
            <w:tcW w:w="907" w:type="dxa"/>
          </w:tcPr>
          <w:p w14:paraId="4E3E74D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{"citationID":"XwqFIsK1","properties":{"formattedCitation":"(74)","plainCitation":"(74)","dontUpdate":true,"noteIndex":0},"citationItems":[{"id":1039,"uris":["http://zotero.org/users/12446040/items/UT2JQSEJ"],"itemData":{"id":1039,"type":"article-journal","abstract":"The present study was carried out to investigate the distribution of ring PAHs in the particulate/gaseous PAHs phase associated with the PM 2.5 bound particulate matter besides toxicity in the residential site. The higher molecular weight of PAHs was primarily associated with the particulate phase, whereas lower molecular weight PAHs were observed in the gaseous phase. After the analysis of the seasonal data, the average value for particulate TPAHs concentration at all sites was found to be 122.46 ng/m3, whereas gaseous was 48.47 ng/m3, respectively. The trend of ring TPAHs concentration in different rings was observed 5- ring &gt;6- ring &gt;4- ring &gt;3- ring &gt;2- ring for particulate phase, whereas in gaseous phase 3- ring &gt;4- ring &gt;2- ring in all seasons. The concentrations of ∑5- ring and ∑6- ring PAHs were more dominant in the particulate phase, whereas the concentrations 2- ring and 3- ring were more dominant in the gaseous phase in all seasons. The LLE for both gaseous and particulate PAHs was calculated in the range 8.89 to 12.0 min for the gaseous phase, whereas for the particulate phase, 17.2 to 37.2 min for South Delhi and North Delhi, respectively.","container-title":"Urban Climate","DOI":"10.1016/j.uclim.2021.101010","ISSN":"2212-0955","journalAbbreviation":"Urban Climate","page":"101010","source":"ScienceDirect","title":"Distribution of ring PAHs in particulate/gaseous phase in the urban city of Delhi, India: Seasonal variation and cancer risk assessment","title-short":"Distribution of ring PAHs in particulate/gaseous phase in the urban city of Delhi, India","volume":"40","author":[{"family":"Singh","given":"Bhupendra P."},{"family":"Kumar","given":"Krishan"},{"family":"Jain","given":"Vinod Kumar"}],"issued":{"date-parts":[["2021",12,1]]}}}],"schema":"https://github.com/citation-style-language/schema/raw/master/csl-citation.json"}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[74]</w:t>
            </w:r>
            <w:r w:rsidRPr="00C9504C">
              <w:rPr>
                <w:rFonts w:ascii="Arial" w:hAnsi="Arial" w:cs="Arial"/>
                <w:sz w:val="20"/>
                <w:szCs w:val="20"/>
              </w:rPr>
              <w:fldChar w:fldCharType="end"/>
            </w:r>
          </w:p>
        </w:tc>
      </w:tr>
      <w:tr w:rsidR="006751F9" w:rsidRPr="00AE1E24" w14:paraId="585EFDEB" w14:textId="77777777" w:rsidTr="00420FF2">
        <w:trPr>
          <w:trHeight w:val="300"/>
          <w:jc w:val="center"/>
        </w:trPr>
        <w:tc>
          <w:tcPr>
            <w:tcW w:w="737" w:type="dxa"/>
            <w:shd w:val="clear" w:color="auto" w:fill="auto"/>
            <w:noWrap/>
          </w:tcPr>
          <w:p w14:paraId="230D984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5B9846E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Isfahan City, Iran</w:t>
            </w:r>
          </w:p>
        </w:tc>
        <w:tc>
          <w:tcPr>
            <w:tcW w:w="1191" w:type="dxa"/>
            <w:shd w:val="clear" w:color="auto" w:fill="auto"/>
            <w:noWrap/>
          </w:tcPr>
          <w:p w14:paraId="7BE57EC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2E3CCD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Mar. 2014–Mar. 2015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6D93D0E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AC306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16.6 L min</w:t>
            </w:r>
            <w:r w:rsidRPr="00C9504C">
              <w:rPr>
                <w:rFonts w:ascii="Arial" w:hAnsi="Arial" w:cs="Arial"/>
                <w:sz w:val="20"/>
                <w:szCs w:val="20"/>
                <w:vertAlign w:val="superscript"/>
                <w:lang w:val="en-US"/>
              </w:rPr>
              <w:t>−1</w:t>
            </w:r>
          </w:p>
        </w:tc>
        <w:tc>
          <w:tcPr>
            <w:tcW w:w="794" w:type="dxa"/>
            <w:shd w:val="clear" w:color="auto" w:fill="auto"/>
            <w:noWrap/>
          </w:tcPr>
          <w:p w14:paraId="06DAD7B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w:t>
            </w:r>
          </w:p>
        </w:tc>
        <w:tc>
          <w:tcPr>
            <w:tcW w:w="1191" w:type="dxa"/>
            <w:shd w:val="clear" w:color="auto" w:fill="auto"/>
            <w:noWrap/>
          </w:tcPr>
          <w:p w14:paraId="1492904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55B6A75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w:t>
            </w:r>
          </w:p>
        </w:tc>
        <w:tc>
          <w:tcPr>
            <w:tcW w:w="1134" w:type="dxa"/>
            <w:shd w:val="clear" w:color="auto" w:fill="auto"/>
            <w:noWrap/>
          </w:tcPr>
          <w:p w14:paraId="5B3FD9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 with HF, HCl, HNO</w:t>
            </w:r>
            <w:r w:rsidRPr="00C9504C">
              <w:rPr>
                <w:rFonts w:ascii="Arial" w:hAnsi="Arial" w:cs="Arial"/>
                <w:sz w:val="20"/>
                <w:szCs w:val="20"/>
                <w:vertAlign w:val="subscript"/>
                <w:lang w:val="en-US"/>
              </w:rPr>
              <w:t>3</w:t>
            </w:r>
          </w:p>
        </w:tc>
        <w:tc>
          <w:tcPr>
            <w:tcW w:w="1077" w:type="dxa"/>
            <w:shd w:val="clear" w:color="auto" w:fill="auto"/>
            <w:noWrap/>
          </w:tcPr>
          <w:p w14:paraId="3B8FA1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102D3D0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328A244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PCA</w:t>
            </w:r>
          </w:p>
        </w:tc>
        <w:tc>
          <w:tcPr>
            <w:tcW w:w="907" w:type="dxa"/>
          </w:tcPr>
          <w:p w14:paraId="789DCA1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{"citationID":"PbUaA0Wv","properties":{"formattedCitation":"(75)","plainCitation":"(75)","dontUpdate":true,"noteIndex":0},"citationItems":[{"id":1164,"uris":["http://zotero.org/users/12446040/items/27IQQ7BU"],"itemData":{"id":1164,"type":"article-journal","abstract":"The presence of heavy metals (HMs) in particulate matters (PMs) particularly fine particles such as PM2.5 poses potential risk to the health of human being. The purpose of this study was to analyze the contents of HMs in PM2.5 in the atmospheric monitoring stations in Isfahan city, Iran, in different seasons between March 2014 and March 2015 and their source identification using principle component analysis (PCA). The samples of PM2.5 were taken using a high volume sampler in 7 monitoring stations located throughout the city and industrial zones since March 2014 to March 2015. The HMs content of the samples was measured using ICP-MS. The results showed that the concentrations of As, Cd and Ni were in a range of 23–36, 1–12, and 5–76ng/m3 at all the stations which exceeded the US-EPA standards. Furthermore, the concentrations of Cr and Cu reached to 153 and 167ng/m3 in some stations which were also higher than the standard levels. Depending on the potential sources of HMs, their concentration in PM2.5 through the various seasons was different. PCA illustrated that the different potential sources of HMs in the atmosphere, showing that the most important sources of HMs originated from fossil fuel combustion, abrasion of vehicle tires, industrial activities (e.g., iron and steel industries) and dust storms. Management and control of air pollution of industrial plants and vehicles are suggested for decreasing the risk of the HMs in the region.","container-title":"Journal of Environmental Sciences","DOI":"10.1016/j.jes.2018.01.002","ISSN":"1001-0742","journalAbbreviation":"Journal of Environmental Sciences","page":"166-175","source":"ScienceDirect","title":"Heavy metals and their source identification in particulate matter (PM2.5) in Isfahan City, Iran","volume":"72","author":[{"family":"Soleimani","given":"Mohsen"},{"family":"Amini","given":"Nasibeh"},{"family":"Sadeghian","given":"Babak"},{"family":"Wang","given":"Dongsheng"},{"family":"Fang","given":"Liping"}],"issued":{"date-parts":[["2018",10,1]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[75]</w:t>
            </w:r>
            <w:r w:rsidRPr="00C9504C">
              <w:rPr>
                <w:rFonts w:ascii="Arial" w:hAnsi="Arial" w:cs="Arial"/>
                <w:sz w:val="20"/>
                <w:szCs w:val="20"/>
              </w:rPr>
              <w:fldChar w:fldCharType="end"/>
            </w:r>
          </w:p>
        </w:tc>
      </w:tr>
      <w:tr w:rsidR="006751F9" w:rsidRPr="00AE1E24" w14:paraId="47A433FA" w14:textId="77777777" w:rsidTr="00420FF2">
        <w:trPr>
          <w:trHeight w:val="300"/>
          <w:jc w:val="center"/>
        </w:trPr>
        <w:tc>
          <w:tcPr>
            <w:tcW w:w="737" w:type="dxa"/>
            <w:shd w:val="clear" w:color="auto" w:fill="auto"/>
            <w:noWrap/>
          </w:tcPr>
          <w:p w14:paraId="4F3FFC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r w:rsidRPr="00C9504C">
              <w:rPr>
                <w:rFonts w:ascii="Arial" w:hAnsi="Arial" w:cs="Arial"/>
                <w:sz w:val="20"/>
                <w:szCs w:val="20"/>
                <w:lang w:val="en-US"/>
              </w:rPr>
              <w:t>, PM</w:t>
            </w:r>
            <w:r w:rsidRPr="00C9504C">
              <w:rPr>
                <w:rFonts w:ascii="Arial" w:hAnsi="Arial" w:cs="Arial"/>
                <w:sz w:val="20"/>
                <w:szCs w:val="20"/>
                <w:vertAlign w:val="subscript"/>
                <w:lang w:val="en-US"/>
              </w:rPr>
              <w:t>1</w:t>
            </w:r>
          </w:p>
        </w:tc>
        <w:tc>
          <w:tcPr>
            <w:tcW w:w="1417" w:type="dxa"/>
            <w:shd w:val="clear" w:color="auto" w:fill="auto"/>
            <w:noWrap/>
          </w:tcPr>
          <w:p w14:paraId="64BF37A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Algiers, Algeria</w:t>
            </w:r>
          </w:p>
        </w:tc>
        <w:tc>
          <w:tcPr>
            <w:tcW w:w="1191" w:type="dxa"/>
            <w:shd w:val="clear" w:color="auto" w:fill="auto"/>
            <w:noWrap/>
          </w:tcPr>
          <w:p w14:paraId="16C7743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7CC2145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2015–Nov. 2016 (186)</w:t>
            </w:r>
          </w:p>
        </w:tc>
        <w:tc>
          <w:tcPr>
            <w:tcW w:w="1134" w:type="dxa"/>
            <w:shd w:val="clear" w:color="auto" w:fill="auto"/>
            <w:noWrap/>
          </w:tcPr>
          <w:p w14:paraId="3C92DD1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6939927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60B43B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GFF</w:t>
            </w:r>
          </w:p>
        </w:tc>
        <w:tc>
          <w:tcPr>
            <w:tcW w:w="1191" w:type="dxa"/>
            <w:shd w:val="clear" w:color="auto" w:fill="auto"/>
            <w:noWrap/>
          </w:tcPr>
          <w:p w14:paraId="7D63B19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74A022E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XRF</w:t>
            </w:r>
          </w:p>
        </w:tc>
        <w:tc>
          <w:tcPr>
            <w:tcW w:w="1134" w:type="dxa"/>
            <w:shd w:val="clear" w:color="auto" w:fill="auto"/>
            <w:noWrap/>
          </w:tcPr>
          <w:p w14:paraId="3E68C5B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54762C2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5488241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92</w:t>
            </w:r>
            <w:r w:rsidRPr="0085132E">
              <w:rPr>
                <w:rFonts w:ascii="Arial" w:hAnsi="Arial" w:cs="Arial"/>
                <w:color w:val="000000" w:themeColor="text1"/>
                <w:sz w:val="20"/>
                <w:szCs w:val="20"/>
                <w:lang w:val="en-US"/>
              </w:rPr>
              <w:t>%</w:t>
            </w:r>
            <w:r w:rsidRPr="00C9504C">
              <w:rPr>
                <w:rFonts w:ascii="Arial" w:hAnsi="Arial" w:cs="Arial"/>
                <w:sz w:val="20"/>
                <w:szCs w:val="20"/>
                <w:lang w:val="en-US"/>
              </w:rPr>
              <w:t>−109%</w:t>
            </w:r>
          </w:p>
          <w:p w14:paraId="05DC627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Prec.:</w:t>
            </w:r>
          </w:p>
          <w:p w14:paraId="72BB25B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&lt;20%</w:t>
            </w:r>
          </w:p>
        </w:tc>
        <w:tc>
          <w:tcPr>
            <w:tcW w:w="907" w:type="dxa"/>
          </w:tcPr>
          <w:p w14:paraId="10A36C5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68805E1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PCA, BTA</w:t>
            </w:r>
          </w:p>
        </w:tc>
        <w:tc>
          <w:tcPr>
            <w:tcW w:w="907" w:type="dxa"/>
          </w:tcPr>
          <w:p w14:paraId="1FA63DF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Z3jYUylB","properties":{"formattedCitation":"(76)","plainCitation":"(76)","dontUpdate":true,"noteIndex":0},"citationItems":[{"id":1171,"uris":["http://zotero.org/users/12446040/items/ZJQ47H8C"],"itemData":{"id":1171,"type":"article-journal","abstract":"Concentrations of particulate matter less than 1  μm, 2.5  μm, 10 μm and their contents of heavy metals were investigated in two different stations, urban and roadside at Algiers (Algeria). Sampling was conducted during two years by a high volume samplers (HVS) equipped with a cascade impactor at four levels stage, for one year sampling. The characterization of the heavy metals associated to the particulate matter (PM) was carried out by X-Ray Fluorescence analysis (XRF). The annual average concentration of PM1, PM2.5 and PM10 in both stations were 18.24, 32.23 and 60.01 μg m−3 respectively. The PM1, PM2.5 and PM10 concentrations in roadside varied from 13.46 to 25.59 μg m−3, 20.82–49.85 μg m−3 and 45.90–77.23 μg m−3 respectively. However in the urban station, the PM1, PM2.5 and PM10 concentrations varied from 10.45 to 26.24 μg m−3, 18.53–47.58 μg m−3 and 43.8–91.62 μg m−3. The heavy metals associated to the PM were confirmed by Scanning Electron Microscopy-Energy Dispersive X-Ray analyses (SEM-EDX). The different spots of PM2.5 analysis by SEM-EDX shows the presence of nineteen elements with anthropogenic and natural origins, within the heavy metal detected, the lead was found with maximum of 5% (weight percent). In order to determine the source contributions of PM levels at the two sampling sites sampling, principal compound analysis (PCA) was applied to the collected data. Statistical analysis confirmed anthropogenic source with traffic being a significant source and high contribution of natural emissions. At both sites, the PM2.5/PM10 ratio is lower than that usually recorded in developed countries. The study of the back-trajectories of the air masses starting from Sahara shows that desert dust influences the concentration and the composition of the PM measured in Algiers.","container-title":"Environmental Pollution","DOI":"10.1016/j.envpol.2017.09.041","ISSN":"0269-7491","journalAbbreviation":"Environmental Pollution","page":"252-263","source":"ScienceDirect","title":"Assessment of annual air pollution levels with PM1, PM2.5, PM10 and associated heavy metals in Algiers, Algeria","volume":"232","author":[{"family":"Talbi","given":"Abdelhamid"},{"family":"Kerchich","given":"Yacine"},{"family":"Kerbachi","given":"Rabah"},{"family":"Boughedaoui","given":"Ménouèr"}],"issued":{"date-parts":[["2018",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[76]</w:t>
            </w:r>
            <w:r w:rsidRPr="00C9504C">
              <w:rPr>
                <w:rFonts w:ascii="Arial" w:hAnsi="Arial" w:cs="Arial"/>
                <w:sz w:val="20"/>
                <w:szCs w:val="20"/>
              </w:rPr>
              <w:fldChar w:fldCharType="end"/>
            </w:r>
          </w:p>
        </w:tc>
      </w:tr>
      <w:tr w:rsidR="006751F9" w:rsidRPr="00AE1E24" w14:paraId="351038BE" w14:textId="77777777" w:rsidTr="00420FF2">
        <w:trPr>
          <w:trHeight w:val="300"/>
          <w:jc w:val="center"/>
        </w:trPr>
        <w:tc>
          <w:tcPr>
            <w:tcW w:w="737" w:type="dxa"/>
            <w:shd w:val="clear" w:color="auto" w:fill="auto"/>
            <w:noWrap/>
          </w:tcPr>
          <w:p w14:paraId="016AD25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A14293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Lanzhou, China</w:t>
            </w:r>
          </w:p>
        </w:tc>
        <w:tc>
          <w:tcPr>
            <w:tcW w:w="1191" w:type="dxa"/>
            <w:shd w:val="clear" w:color="auto" w:fill="auto"/>
            <w:noWrap/>
          </w:tcPr>
          <w:p w14:paraId="727F475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17E0470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2012–Jul. 2013 (68)</w:t>
            </w:r>
          </w:p>
        </w:tc>
        <w:tc>
          <w:tcPr>
            <w:tcW w:w="1134" w:type="dxa"/>
            <w:shd w:val="clear" w:color="auto" w:fill="auto"/>
            <w:noWrap/>
          </w:tcPr>
          <w:p w14:paraId="12124FA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6385BD2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1CB5C5E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0475EEC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 PAH</w:t>
            </w:r>
          </w:p>
        </w:tc>
        <w:tc>
          <w:tcPr>
            <w:tcW w:w="1134" w:type="dxa"/>
          </w:tcPr>
          <w:p w14:paraId="3B55590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ICP-MS, ICP-OES; GC-MS</w:t>
            </w:r>
          </w:p>
        </w:tc>
        <w:tc>
          <w:tcPr>
            <w:tcW w:w="1134" w:type="dxa"/>
            <w:shd w:val="clear" w:color="auto" w:fill="auto"/>
            <w:noWrap/>
          </w:tcPr>
          <w:p w14:paraId="54451F2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MAD with HCl, HNO</w:t>
            </w:r>
            <w:r w:rsidRPr="00C9504C">
              <w:rPr>
                <w:rFonts w:ascii="Arial" w:hAnsi="Arial" w:cs="Arial"/>
                <w:sz w:val="20"/>
                <w:szCs w:val="20"/>
                <w:vertAlign w:val="subscript"/>
                <w:lang w:val="en-US"/>
              </w:rPr>
              <w:t>3</w:t>
            </w:r>
            <w:r w:rsidRPr="00C9504C">
              <w:rPr>
                <w:rFonts w:ascii="Arial" w:hAnsi="Arial" w:cs="Arial"/>
                <w:sz w:val="20"/>
                <w:szCs w:val="20"/>
                <w:lang w:val="en-US"/>
              </w:rPr>
              <w:t>;</w:t>
            </w:r>
          </w:p>
          <w:p w14:paraId="7AC8410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w:t>
            </w:r>
          </w:p>
        </w:tc>
        <w:tc>
          <w:tcPr>
            <w:tcW w:w="1077" w:type="dxa"/>
            <w:shd w:val="clear" w:color="auto" w:fill="auto"/>
            <w:noWrap/>
          </w:tcPr>
          <w:p w14:paraId="6F73960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404FD81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93</w:t>
            </w:r>
            <w:r w:rsidRPr="0085132E">
              <w:rPr>
                <w:rFonts w:ascii="Arial" w:hAnsi="Arial" w:cs="Arial"/>
                <w:color w:val="000000" w:themeColor="text1"/>
                <w:sz w:val="20"/>
                <w:szCs w:val="20"/>
                <w:lang w:val="en-US"/>
              </w:rPr>
              <w:t>%</w:t>
            </w:r>
            <w:r w:rsidRPr="00C9504C">
              <w:rPr>
                <w:rFonts w:ascii="Arial" w:hAnsi="Arial" w:cs="Arial"/>
                <w:sz w:val="20"/>
                <w:szCs w:val="20"/>
                <w:lang w:val="en-US"/>
              </w:rPr>
              <w:t>−105%, Prec.:</w:t>
            </w:r>
          </w:p>
          <w:p w14:paraId="52210DA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&lt;5%,</w:t>
            </w:r>
          </w:p>
          <w:p w14:paraId="59163ED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4576E47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w:t>
            </w:r>
            <w:r w:rsidRPr="0085132E">
              <w:rPr>
                <w:rFonts w:ascii="Arial" w:hAnsi="Arial" w:cs="Arial"/>
                <w:color w:val="000000" w:themeColor="text1"/>
                <w:sz w:val="20"/>
                <w:szCs w:val="20"/>
                <w:lang w:val="en-US"/>
              </w:rPr>
              <w:t>%</w:t>
            </w:r>
            <w:r w:rsidRPr="00C9504C">
              <w:rPr>
                <w:rFonts w:ascii="Arial" w:hAnsi="Arial" w:cs="Arial"/>
                <w:sz w:val="20"/>
                <w:szCs w:val="20"/>
                <w:lang w:val="en-US"/>
              </w:rPr>
              <w:t>−10% for PAHs</w:t>
            </w:r>
          </w:p>
        </w:tc>
        <w:tc>
          <w:tcPr>
            <w:tcW w:w="907" w:type="dxa"/>
          </w:tcPr>
          <w:p w14:paraId="7D27F2A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00943AA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PMF, EF, BTA</w:t>
            </w:r>
          </w:p>
        </w:tc>
        <w:tc>
          <w:tcPr>
            <w:tcW w:w="907" w:type="dxa"/>
          </w:tcPr>
          <w:p w14:paraId="519AA7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{"citationID":"ag2Yiajt","properties":{"formattedCitation":"(77)","plainCitation":"(77)","dontUpdate":true,"noteIndex":0},"citationItems":[{"id":1169,"uris":["http://zotero.org/users/12446040/items/A6VZKKRN"],"itemData":{"id":1169,"type":"article-journal","abstract":"Daily PM2.5 samples were collected during winter 2012 and summer 2013 at an urban site in Lanzhou and were analyzed for chemical compounds including water soluble inorganic ions (WSIN), trace elements, water soluble organic carbon (WSOC), carbonaceous species (OC/EC), polycyclic aromatic hydrocarbons (PAHs), and humic-like substances (HULIS). The seasonal-average reconstructed PM2.5 mass was 120.5μgm−3 in winter and 34.1μgm−3 in summer. The top three groups of species in PM2.5 were OC (35.4±13.9μgm−3), WSIN (34.89±14.21μgm−3), and EC (13.80±5.41μgm−3) in winter and WSIN (11.25±3.25μgm−3), OC (9.74±3.30μgm−3), and EC (4.44±2.00μgm−3) in summer. EC exceeded SO42− on most of the days. Several anthropogenic produced primary pollutants such as PAHs, Cl−, Pb, Cd and OCpri were 4–22 times higher in winter than summer. Carcinogenic substances such as Arsenic, BaP, Pb, and Cd in PM2.5 exceeded the WHO guideline limits by 274%, 153%, 23% and 7%, respectively. Positive Matric Factorization analysis identified seven source factors including steel industry, secondary aerosols, coal combustion, power plants, vehicle emissions, crustal dust, and smelting industry, which contributed 7.1%, 33.0%, 28.7%, 3.12%, 8.8%, 13.3%, and 6.0%, respectively, to PM2.5 in winter, and 6.7%, 14.8%, 3.1%, 3.4%, 25.2%, 11.6% and 35.2% in summer. Smelting industry and steel industry were identified for the first time as sources of PM2.5 in this city, and power plant was distinguished from industrial boiler and residential coal burning.","container-title":"Science of The Total Environment","DOI":"10.1016/j.scitotenv.2017.06.050","ISSN":"0048-9697","journalAbbreviation":"Science of The Total Environment","page":"1743-1752","source":"ScienceDirect","title":"Chemical characteristics and source apportionment of PM2.5 in Lanzhou, China","volume":"601-602","author":[{"family":"Tan","given":"Jihua"},{"family":"Zhang","given":"Leiming"},{"family":"Zhou","given":"Xueming"},{"family":"Duan","given":"Jingchun"},{"family":"Li","given":"Yan"},{"family":"Hu","given":"Jingnan"},{"family":"He","given":"Kebin"}],"issued":{"date-parts":[["2017",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[77]</w:t>
            </w:r>
            <w:r w:rsidRPr="00C9504C">
              <w:rPr>
                <w:rFonts w:ascii="Arial" w:hAnsi="Arial" w:cs="Arial"/>
                <w:sz w:val="20"/>
                <w:szCs w:val="20"/>
              </w:rPr>
              <w:fldChar w:fldCharType="end"/>
            </w:r>
          </w:p>
        </w:tc>
      </w:tr>
      <w:tr w:rsidR="006751F9" w:rsidRPr="00AE1E24" w14:paraId="520AEF25" w14:textId="77777777" w:rsidTr="00420FF2">
        <w:trPr>
          <w:trHeight w:val="300"/>
          <w:jc w:val="center"/>
        </w:trPr>
        <w:tc>
          <w:tcPr>
            <w:tcW w:w="737" w:type="dxa"/>
            <w:shd w:val="clear" w:color="auto" w:fill="auto"/>
            <w:noWrap/>
          </w:tcPr>
          <w:p w14:paraId="4A5DB02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073CC8C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Taipei, Taiwan</w:t>
            </w:r>
          </w:p>
        </w:tc>
        <w:tc>
          <w:tcPr>
            <w:tcW w:w="1191" w:type="dxa"/>
            <w:shd w:val="clear" w:color="auto" w:fill="auto"/>
            <w:noWrap/>
          </w:tcPr>
          <w:p w14:paraId="41EF3BA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GL</w:t>
            </w:r>
          </w:p>
        </w:tc>
        <w:tc>
          <w:tcPr>
            <w:tcW w:w="1134" w:type="dxa"/>
            <w:shd w:val="clear" w:color="auto" w:fill="auto"/>
            <w:noWrap/>
          </w:tcPr>
          <w:p w14:paraId="11CF78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2021–Sep. 2021 (52)</w:t>
            </w:r>
          </w:p>
        </w:tc>
        <w:tc>
          <w:tcPr>
            <w:tcW w:w="1134" w:type="dxa"/>
            <w:shd w:val="clear" w:color="auto" w:fill="auto"/>
            <w:noWrap/>
          </w:tcPr>
          <w:p w14:paraId="5F4773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31FFDF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1.13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0D5E92C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00325A1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PAHs</w:t>
            </w:r>
          </w:p>
        </w:tc>
        <w:tc>
          <w:tcPr>
            <w:tcW w:w="1134" w:type="dxa"/>
          </w:tcPr>
          <w:p w14:paraId="26B66D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3F82B05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 Hx</w:t>
            </w:r>
          </w:p>
        </w:tc>
        <w:tc>
          <w:tcPr>
            <w:tcW w:w="1077" w:type="dxa"/>
            <w:shd w:val="clear" w:color="auto" w:fill="auto"/>
            <w:noWrap/>
          </w:tcPr>
          <w:p w14:paraId="13B3E44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774A50F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80</w:t>
            </w:r>
            <w:r w:rsidRPr="0085132E">
              <w:rPr>
                <w:rFonts w:ascii="Arial" w:hAnsi="Arial" w:cs="Arial"/>
                <w:color w:val="000000" w:themeColor="text1"/>
                <w:sz w:val="20"/>
                <w:szCs w:val="20"/>
                <w:lang w:val="en-US"/>
              </w:rPr>
              <w:t>%</w:t>
            </w:r>
            <w:r w:rsidRPr="00C9504C">
              <w:rPr>
                <w:rFonts w:ascii="Arial" w:hAnsi="Arial" w:cs="Arial"/>
                <w:sz w:val="20"/>
                <w:szCs w:val="20"/>
                <w:lang w:val="en-US"/>
              </w:rPr>
              <w:t>−111%</w:t>
            </w:r>
          </w:p>
        </w:tc>
        <w:tc>
          <w:tcPr>
            <w:tcW w:w="907" w:type="dxa"/>
          </w:tcPr>
          <w:p w14:paraId="7911CCC7"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3AE9EA9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PMF, PSCF, CWT, BTA,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w:t>
            </w:r>
          </w:p>
        </w:tc>
        <w:tc>
          <w:tcPr>
            <w:tcW w:w="907" w:type="dxa"/>
          </w:tcPr>
          <w:p w14:paraId="3AD9D69C" w14:textId="77777777" w:rsidR="006751F9" w:rsidRPr="00C9504C" w:rsidRDefault="006751F9" w:rsidP="00420FF2">
            <w:pPr>
              <w:spacing w:after="0" w:line="240" w:lineRule="exact"/>
              <w:jc w:val="center"/>
              <w:rPr>
                <w:rFonts w:ascii="Arial" w:hAnsi="Arial" w:cs="Arial"/>
                <w:sz w:val="20"/>
                <w:szCs w:val="20"/>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{"citationID":"r73f5WbH","properties":{"formattedCitation":"(78)","plainCitation":"(78)","dontUpdate":true,"noteIndex":0},"citationItems":[{"id":1390,"uris":["http://zotero.org/users/12446040/items/CFZIXLLL"],"itemData":{"id":1390,"type":"article-journal","abstract":"Despite the well-established recognition of the health hazards posed by PM2.5-bound PAHs, a comprehensive understanding of their source-specific impact has been lacking. In this study, the health risks associated with PM2.5-bound polycyclic aromatic hydrocarbons (PAHs) and source-specific contributions were investigated in the urban region of Taipei during both cold and warm seasons. The levels of PM2.5-bound PAHs and their potential health risks across different age groups of humans were also characterized. Diagnostic ratios and positive matrix factorization analysis were utilized to identify the sources of PM2.5-bound PAHs. Moreover, potential source contribution function (PSCF), concentration-weighted trajectory (CWT) and source regional apportionment (SRA) analyses were employed to determine the potential source regions. Results showed that the total PAHs (TPAHs) concentrations ranged from 0.08 to 2.37 ng m−3, with an average of 0.69 ± 0.53 ng m−3. Vehicular emissions emerged as the primary contributor to PM2.5-bound PAHs, constituting 39.8 % of the TPAHs concentration, followed by industrial emissions (37.6 %), biomass burning (13.8 %), and petroleum/oil volatilization (8.8 %). PSCF and CWT analyses revealed that industrial activities and shipping processes in northeast China, South China Sea, Yellow Sea, and East China Sea, contributed to the occurrence of PM2.5-bound PAHs in Taipei. SRA identified central China as the primary regional contributor of ambient TPAHs in the cold season and Taiwan in the warm season, respectively. Evaluations of incremental lifetime cancer risk demonstrated the highest risk for adults, followed by children, seniors, and adolescents. The assessments of lifetime lung cancer risk showed that vehicular and industrial emissions were the main contributors to cancer risk induced by PM2.5-bound PAHs. This research emphasizes the essential role of precisely identifying the origins of PM2.5-bound PAHs to enhance our comprehension of the related human health hazards, thus providing valuable insights into the mitigation strategies.","container-title":"Science of The Total Environment","DOI":"10.1016/j.scitotenv.2024.171325","ISSN":"0048-9697","journalAbbreviation":"Science of The Total Environment","page":"171325","source":"ScienceDirect","title":"Sources-attributed contributions to health risks associated with PM2.5-bound polycyclic aromatic hydrocarbons during the warm and cold seasons in an urban area of Eastern Asia","volume":"922","author":[{"family":"Ting","given":"Yu-Chieh"},{"family":"Zou","given":"Yu-Xuan"},{"family":"Pan","given":"Shih-Yu"},{"family":"Ko","given":"Yi-Ru"},{"family":"Ciou","given":"Zih-Jhe"},{"family":"Huang","given":"Chuan-Hsiu"}],"issued":{"date-parts":[["2024",4,20]]}}}],"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[78</w:t>
            </w:r>
            <w:r w:rsidRPr="00C9504C">
              <w:rPr>
                <w:rFonts w:ascii="Arial" w:hAnsi="Arial" w:cs="Arial"/>
                <w:sz w:val="20"/>
                <w:szCs w:val="20"/>
              </w:rPr>
              <w:fldChar w:fldCharType="end"/>
            </w:r>
            <w:r w:rsidRPr="00C9504C">
              <w:rPr>
                <w:rFonts w:ascii="Arial" w:hAnsi="Arial" w:cs="Arial"/>
                <w:sz w:val="20"/>
                <w:szCs w:val="20"/>
                <w:lang w:val="en-US"/>
              </w:rPr>
              <w:t>]</w:t>
            </w:r>
          </w:p>
        </w:tc>
      </w:tr>
      <w:tr w:rsidR="006751F9" w:rsidRPr="00AE1E24" w14:paraId="48ACE7C4" w14:textId="77777777" w:rsidTr="00420FF2">
        <w:trPr>
          <w:trHeight w:val="300"/>
          <w:jc w:val="center"/>
        </w:trPr>
        <w:tc>
          <w:tcPr>
            <w:tcW w:w="737" w:type="dxa"/>
            <w:shd w:val="clear" w:color="auto" w:fill="auto"/>
            <w:noWrap/>
          </w:tcPr>
          <w:p w14:paraId="08853B6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A45AE6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Thessaloniki, Greece</w:t>
            </w:r>
          </w:p>
        </w:tc>
        <w:tc>
          <w:tcPr>
            <w:tcW w:w="1191" w:type="dxa"/>
            <w:shd w:val="clear" w:color="auto" w:fill="auto"/>
            <w:noWrap/>
          </w:tcPr>
          <w:p w14:paraId="5E4044D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629CBD9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2011–May 2012 (149)</w:t>
            </w:r>
          </w:p>
        </w:tc>
        <w:tc>
          <w:tcPr>
            <w:tcW w:w="1134" w:type="dxa"/>
            <w:shd w:val="clear" w:color="auto" w:fill="auto"/>
            <w:noWrap/>
          </w:tcPr>
          <w:p w14:paraId="32226ED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6E03539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10ABDDF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2C6F397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 PAH</w:t>
            </w:r>
          </w:p>
        </w:tc>
        <w:tc>
          <w:tcPr>
            <w:tcW w:w="1134" w:type="dxa"/>
          </w:tcPr>
          <w:p w14:paraId="41FBE01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ETAAS, GC-MS</w:t>
            </w:r>
          </w:p>
        </w:tc>
        <w:tc>
          <w:tcPr>
            <w:tcW w:w="1134" w:type="dxa"/>
            <w:shd w:val="clear" w:color="auto" w:fill="auto"/>
            <w:noWrap/>
          </w:tcPr>
          <w:p w14:paraId="76D1DBF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 MAD with acids</w:t>
            </w:r>
          </w:p>
        </w:tc>
        <w:tc>
          <w:tcPr>
            <w:tcW w:w="1077" w:type="dxa"/>
            <w:shd w:val="clear" w:color="auto" w:fill="auto"/>
            <w:noWrap/>
          </w:tcPr>
          <w:p w14:paraId="6BEFFF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712B8AE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2E7BBEAB"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DR</w:t>
            </w:r>
          </w:p>
        </w:tc>
        <w:tc>
          <w:tcPr>
            <w:tcW w:w="907" w:type="dxa"/>
          </w:tcPr>
          <w:p w14:paraId="5C4E735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{"citationID":"iIKcIoBb","properties":{"formattedCitation":"(79)","plainCitation":"(79)","dontUpdate":true,"noteIndex":0},"citationItems":[{"id":1173,"uris":["http://zotero.org/users/12446040/items/8ZCIC7ML"],"itemData":{"id":1173,"type":"article-journal","abstract":"The chemical characterization of PM2.5 fraction was studied during a one-year sampling campaign conducted at an urban area (city center) of Thessaloniki, Greece. PM2.5 samples were analyzed for polycyclic aromatic hydrocarbons, minerals and trace elements, water soluble ions, organic and elemental carbon. The average PM2.5 concentration (37.7 μg/m3) was significantly higher than the EU legislated annual limit of 25 μg/m3 underlining the temporal problems of air quality in the city. PM mass and chemical composition data collected at the city center were compared to the corresponding data which were simultaneously collected at a site near the port. The atmosphere in the port area has been found to be more aggravated compared to the city center area. Statistical analysis and diagnostic ratios of the collected chemical data at both sites were used to identify the main sources contributing to the pollutant levels: traffic, biomass burning for domestic heating, shipping and port activities and dust resuspension. In general, chemical analysis highlighted that PM2.5 mass was mainly composed by secondary inorganic aerosols and particulate organic matter, reflecting the simultaneous contribution of both regional and local emission sources.","container-title":"Atmospheric Environment","DOI":"10.1016/j.atmosenv.2015.05.014","ISSN":"1352-2310","journalAbbreviation":"Atmospheric Environment","page":"197-207","source":"ScienceDirect","title":"Concentration and chemical composition of PM2.5 for a one-year period at Thessaloniki, Greece: A comparison between city and port area","title-short":"Concentration and chemical composition of PM2.5 for a one-year period at Thessaloniki, Greece","volume":"113","author":[{"family":"Tolis","given":"Evangelos I."},{"family":"Saraga","given":"Dikaia E."},{"family":"Lytra","given":"Magdalini K."},{"family":"Papathanasiou","given":"Anastasia Ch."},{"family":"Bougaidis","given":"Panteleimon N."},{"family":"Prekas-Patronakis","given":"Orestis E."},{"family":"Ioannidis","given":"Ioannis I."},{"family":"Bartzis","given":"John G."}],"issued":{"date-parts":[["2015",7,1]]}}}],"schema":"https://github.com/citation-style-language/schema/raw/master/csl-citation.json"}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[79</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468B258E" w14:textId="77777777" w:rsidTr="00420FF2">
        <w:trPr>
          <w:trHeight w:val="300"/>
          <w:jc w:val="center"/>
        </w:trPr>
        <w:tc>
          <w:tcPr>
            <w:tcW w:w="737" w:type="dxa"/>
            <w:shd w:val="clear" w:color="auto" w:fill="auto"/>
            <w:noWrap/>
          </w:tcPr>
          <w:p w14:paraId="2C44256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2.5</w:t>
            </w:r>
          </w:p>
        </w:tc>
        <w:tc>
          <w:tcPr>
            <w:tcW w:w="1417" w:type="dxa"/>
            <w:shd w:val="clear" w:color="auto" w:fill="auto"/>
            <w:noWrap/>
          </w:tcPr>
          <w:p w14:paraId="4D5B49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Athens, Greece</w:t>
            </w:r>
          </w:p>
        </w:tc>
        <w:tc>
          <w:tcPr>
            <w:tcW w:w="1191" w:type="dxa"/>
            <w:shd w:val="clear" w:color="auto" w:fill="auto"/>
            <w:noWrap/>
          </w:tcPr>
          <w:p w14:paraId="42196A8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64192B7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2018–Jul. 2021 (217)</w:t>
            </w:r>
          </w:p>
        </w:tc>
        <w:tc>
          <w:tcPr>
            <w:tcW w:w="1134" w:type="dxa"/>
            <w:shd w:val="clear" w:color="auto" w:fill="auto"/>
            <w:noWrap/>
          </w:tcPr>
          <w:p w14:paraId="34A54D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44941B8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500 L min</w:t>
            </w:r>
            <w:r w:rsidRPr="00C9504C">
              <w:rPr>
                <w:rFonts w:ascii="Arial" w:hAnsi="Arial" w:cs="Arial"/>
                <w:sz w:val="20"/>
                <w:szCs w:val="20"/>
                <w:vertAlign w:val="superscript"/>
                <w:lang w:val="en-US"/>
              </w:rPr>
              <w:t>−1</w:t>
            </w:r>
          </w:p>
        </w:tc>
        <w:tc>
          <w:tcPr>
            <w:tcW w:w="794" w:type="dxa"/>
            <w:shd w:val="clear" w:color="auto" w:fill="auto"/>
            <w:noWrap/>
          </w:tcPr>
          <w:p w14:paraId="00F0001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1240AFE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56A9DFB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4DF7E21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ASE with DCM, Hx</w:t>
            </w:r>
          </w:p>
        </w:tc>
        <w:tc>
          <w:tcPr>
            <w:tcW w:w="1077" w:type="dxa"/>
            <w:shd w:val="clear" w:color="auto" w:fill="auto"/>
            <w:noWrap/>
          </w:tcPr>
          <w:p w14:paraId="39AA029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4A316FE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96±10%</w:t>
            </w:r>
          </w:p>
        </w:tc>
        <w:tc>
          <w:tcPr>
            <w:tcW w:w="907" w:type="dxa"/>
          </w:tcPr>
          <w:p w14:paraId="659FF5F2"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44AB21C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PMF, </w:t>
            </w:r>
          </w:p>
          <w:p w14:paraId="743A9E9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ILCR, DR,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p>
        </w:tc>
        <w:tc>
          <w:tcPr>
            <w:tcW w:w="907" w:type="dxa"/>
          </w:tcPr>
          <w:p w14:paraId="07E3BB0A" w14:textId="77777777" w:rsidR="006751F9" w:rsidRPr="00C9504C" w:rsidRDefault="006751F9" w:rsidP="00420FF2">
            <w:pPr>
              <w:spacing w:after="0" w:line="240" w:lineRule="exact"/>
              <w:jc w:val="center"/>
              <w:rPr>
                <w:rFonts w:ascii="Arial" w:hAnsi="Arial" w:cs="Arial"/>
                <w:sz w:val="20"/>
                <w:szCs w:val="20"/>
              </w:rPr>
            </w:pPr>
            <w:r w:rsidRPr="00C9504C">
              <w:rPr>
                <w:rFonts w:ascii="Arial" w:hAnsi="Arial" w:cs="Arial"/>
                <w:sz w:val="20"/>
                <w:szCs w:val="20"/>
                <w:lang w:val="en-US"/>
              </w:rPr>
              <w:t>[</w:t>
            </w: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{"citationID":"ENIkdibP","properties":{"formattedCitation":"(80)","plainCitation":"(80)","dontUpdate":true,"noteIndex":0},"citationItems":[{"id":1392,"uris":["http://zotero.org/users/12446040/items/8ZXWJGFR"],"itemData":{"id":1392,"type":"article-journal","abstract":"Many studies have drawn attention to the associations of oxygenated polycyclic aromatic hydrocarbons (OPAHs) with harmful health effects, advocating for their systematic monitoring alongside simple PAHs to better understand the aerosol carcinogenic potential in urban areas. To address this need, this study conducted an extensive PM2.5 sampling campaign in Athens, Greece, at the Thissio Supersite of the National Observatory of Athens, from December 2018 to July 2021, aiming to characterize the levels and variability of polycyclic aromatic compounds (PACs), perform source apportionment, and assess health risk. Cumulative OPAH concentrations (Σ-OPAHs) were in the same range as Σ-PAHs (annual average 4.2 and 5.6 ng m−3, respectively). They exhibited a common seasonal profile with enhanced levels during the heating seasons, primarily attributed to residential wood burning (RWB). The episodic impact of biomass burning was also observed during a peri-urban wildfire event in May 2021, when PAH and OPAH concentrations increased by a factor of three compared to the monthly average. The study period also included the winter 2020–2021 COVID-19 lockdown, during which PAH and OPAH levels decreased by &gt;50 % compared to past winters. Positive matrix factorization (PMF) source apportionment, based on a carbonaceous aerosol speciation dataset, identified PAC sources related to RWB, local traffic (gasoline vehicles) and urban traffic (including diesel emissions), as well as an impact of regional organic aerosol. Despite its seasonal character, RWB accounted for nearly half of Σ-PAH and over two-thirds of Σ-OPAH concentrations. Using the estimated source profiles and contributions, the source-specific carcinogenic potency of the studied PACs was calculated, revealing that almost 50 % was related to RWB. These findings underscore the urgent need to regulate domestic biomass burning at a European level, which can provide concrete benefits for improving urban air quality, towards the new stricter EU standards, and reducing long-term health effects.","container-title":"Science of The Total Environment","DOI":"10.1016/j.scitotenv.2024.175416","ISSN":"0048-9697","journalAbbreviation":"Science of The Total Environment","page":"175416","source":"ScienceDirect","title":"Source apportionment of particle-bound polycyclic aromatic hydrocarbons (PAHs), oxygenated PAHs (OPAHs), and their associated long-term health risks in a major European city","volume":"951","author":[{"family":"Tsiodra","given":"Irini"},{"family":"Grivas","given":"Georgios"},{"family":"Bougiatioti","given":"Aikaterini"},{"family":"Tavernaraki","given":"Kalliopi"},{"family":"Parinos","given":"Constantine"},{"family":"Paraskevopoulou","given":"Despina"},{"family":"Papoutsidaki","given":"Kyriaki"},{"family":"Tsagkaraki","given":"Maria"},{"family":"Kozonaki","given":"Faidra-Aikaterini"},{"family":"Oikonomou","given":"Konstantina"},{"family":"Nenes","given":"Athanasios"},{"family":"Mihalopoulos","given":"Nikolaos"}],"issued":{"date-parts":[["2024",11,15]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80]</w:t>
            </w:r>
            <w:r w:rsidRPr="00C9504C">
              <w:rPr>
                <w:rFonts w:ascii="Arial" w:hAnsi="Arial" w:cs="Arial"/>
                <w:sz w:val="20"/>
                <w:szCs w:val="20"/>
              </w:rPr>
              <w:fldChar w:fldCharType="end"/>
            </w:r>
          </w:p>
        </w:tc>
      </w:tr>
      <w:tr w:rsidR="006751F9" w:rsidRPr="00AE1E24" w14:paraId="49425E19" w14:textId="77777777" w:rsidTr="00420FF2">
        <w:trPr>
          <w:trHeight w:val="300"/>
          <w:jc w:val="center"/>
        </w:trPr>
        <w:tc>
          <w:tcPr>
            <w:tcW w:w="737" w:type="dxa"/>
            <w:shd w:val="clear" w:color="auto" w:fill="auto"/>
            <w:noWrap/>
          </w:tcPr>
          <w:p w14:paraId="632C97E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40CC07D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Beijing, China</w:t>
            </w:r>
          </w:p>
        </w:tc>
        <w:tc>
          <w:tcPr>
            <w:tcW w:w="1191" w:type="dxa"/>
            <w:shd w:val="clear" w:color="auto" w:fill="auto"/>
            <w:noWrap/>
          </w:tcPr>
          <w:p w14:paraId="6E552F7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550B1E8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Aug. 2014–Dec. 2014 (74)</w:t>
            </w:r>
          </w:p>
        </w:tc>
        <w:tc>
          <w:tcPr>
            <w:tcW w:w="1134" w:type="dxa"/>
            <w:shd w:val="clear" w:color="auto" w:fill="auto"/>
            <w:noWrap/>
          </w:tcPr>
          <w:p w14:paraId="269F1E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416983F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tcPr>
          <w:p w14:paraId="07F81A0F"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QFF</w:t>
            </w:r>
          </w:p>
        </w:tc>
        <w:tc>
          <w:tcPr>
            <w:tcW w:w="1191" w:type="dxa"/>
            <w:shd w:val="clear" w:color="auto" w:fill="auto"/>
            <w:noWrap/>
          </w:tcPr>
          <w:p w14:paraId="540C72F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7CA2319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HPLC</w:t>
            </w:r>
          </w:p>
        </w:tc>
        <w:tc>
          <w:tcPr>
            <w:tcW w:w="1134" w:type="dxa"/>
            <w:shd w:val="clear" w:color="auto" w:fill="auto"/>
            <w:noWrap/>
          </w:tcPr>
          <w:p w14:paraId="75551D8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UAE with </w:t>
            </w:r>
          </w:p>
          <w:p w14:paraId="5D59F225"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MeCN</w:t>
            </w:r>
            <w:proofErr w:type="spellEnd"/>
          </w:p>
        </w:tc>
        <w:tc>
          <w:tcPr>
            <w:tcW w:w="1077" w:type="dxa"/>
            <w:shd w:val="clear" w:color="auto" w:fill="auto"/>
            <w:noWrap/>
          </w:tcPr>
          <w:p w14:paraId="5EAB614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6FBF2FC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70</w:t>
            </w:r>
            <w:r w:rsidRPr="0085132E">
              <w:rPr>
                <w:rFonts w:ascii="Arial" w:hAnsi="Arial" w:cs="Arial"/>
                <w:color w:val="000000" w:themeColor="text1"/>
                <w:sz w:val="20"/>
                <w:szCs w:val="20"/>
                <w:lang w:val="en-US"/>
              </w:rPr>
              <w:t>%</w:t>
            </w:r>
            <w:r w:rsidRPr="00C9504C">
              <w:rPr>
                <w:rFonts w:ascii="Arial" w:hAnsi="Arial" w:cs="Arial"/>
                <w:sz w:val="20"/>
                <w:szCs w:val="20"/>
                <w:lang w:val="en-US"/>
              </w:rPr>
              <w:t>−130%</w:t>
            </w:r>
          </w:p>
        </w:tc>
        <w:tc>
          <w:tcPr>
            <w:tcW w:w="907" w:type="dxa"/>
          </w:tcPr>
          <w:p w14:paraId="14993A2B"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555938B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PMF,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p>
        </w:tc>
        <w:tc>
          <w:tcPr>
            <w:tcW w:w="907" w:type="dxa"/>
          </w:tcPr>
          <w:p w14:paraId="5AE2C8E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{"citationID":"g77G4pB8","properties":{"formattedCitation":"(81)","plainCitation":"(81)","dontUpdate":true,"noteIndex":0},"citationItems":[{"id":600,"uris":["http://zotero.org/users/12446040/items/89IAJA3Z"],"itemData":{"id":600,"type":"article-journal","abstract":"To study source-specific carcinogenicity and mutagenicity of polycyclic aromatic hydrocarbons (PAHs) under diverse anthropogenic activities, PM2.5-bound PAHs were detected in Beijing in four periods. PAHs in Asia-Pacific Economic Cooperation meeting (APEC) was much lower than that in after-APEC period. The highest PAHs concentration was in heating period (303 ng/m3). Sources were quantified by Positive Matrix Factorization (PMF). In heating period, due to high emissions, weak diffusion, low degradation and evaporation, high contributions of all sources were observed, and both absolute and relative contributions of coal combustion increased. Changed contributions in during-APEC and after-APEC periods implied effectiveness of reinforced emission control, especially for coal combustion and vehicles. Furthermore, variations of sources-specific carcinogenicity and mutagenicity were investigated. In non-heating period, contributions of gasoline exhaust (38.4% TEQ: Toxic Equivalent Quantity, 33.7% MEQ: Mutagenic Equivalent Quantity) and diesel exhaust (53.8% TEQ, 57.9% MEQ) dominated both carcinogenic and mutagenic risks. Coal combustion sharply increased in heating period, attributing 27.5% TEQ and 21.7% MEQ. In during-APEC period, all contributions to carcinogenicity and mutagenicity were lower than those in after-APEC period, but “others” linked with regional transport contributed increased fractions (above 20%). Sources-specific carcinogenicity and mutagenicity under diverse anthropogenic activities, especially for APEC meeting with reinforced control, gave a new insight into assessment of control measures based on health risks.","container-title":"Ecotoxicology and Environmental Safety","DOI":"10.1016/j.ecoenv.2019.109552","ISSN":"0147-6513","journalAbbreviation":"Ecotoxicology and Environmental Safety","page":"109552","source":"ScienceDirect","title":"Sources-specific carcinogenicity and mutagenicity of PM2.5-bound PAHs in Beijing, China: Variations of contributions under diverse anthropogenic activities","title-short":"Sources-specific carcinogenicity and mutagenicity of PM2.5-bound PAHs in Beijing, China","volume":"183","author":[{"family":"Wang","given":"Chao"},{"family":"Meng","given":"Zhao"},{"family":"Yao","given":"Peiting"},{"family":"Zhang","given":"Linlin"},{"family":"Wang","given":"Zheng"},{"family":"Lv","given":"Yibing"},{"family":"Tian","given":"Yingze"},{"family":"Feng","given":"Yinchang"}],"issued":{"date-parts":[["2019",11,15]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[81</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632BA8D9" w14:textId="77777777" w:rsidTr="00420FF2">
        <w:trPr>
          <w:trHeight w:val="300"/>
          <w:jc w:val="center"/>
        </w:trPr>
        <w:tc>
          <w:tcPr>
            <w:tcW w:w="737" w:type="dxa"/>
            <w:shd w:val="clear" w:color="auto" w:fill="auto"/>
            <w:noWrap/>
          </w:tcPr>
          <w:p w14:paraId="1220BB8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0CC7DB3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Guangzhou, China</w:t>
            </w:r>
          </w:p>
        </w:tc>
        <w:tc>
          <w:tcPr>
            <w:tcW w:w="1191" w:type="dxa"/>
            <w:shd w:val="clear" w:color="auto" w:fill="auto"/>
            <w:noWrap/>
          </w:tcPr>
          <w:p w14:paraId="6A32131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1E133D1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May 2012–May 2013 (24)</w:t>
            </w:r>
          </w:p>
        </w:tc>
        <w:tc>
          <w:tcPr>
            <w:tcW w:w="1134" w:type="dxa"/>
            <w:shd w:val="clear" w:color="auto" w:fill="auto"/>
            <w:noWrap/>
          </w:tcPr>
          <w:p w14:paraId="631B45C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285042B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1.05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min</w:t>
            </w:r>
            <w:r w:rsidRPr="00C9504C">
              <w:rPr>
                <w:rFonts w:ascii="Arial" w:hAnsi="Arial" w:cs="Arial"/>
                <w:sz w:val="20"/>
                <w:szCs w:val="20"/>
                <w:vertAlign w:val="superscript"/>
                <w:lang w:val="en-US"/>
              </w:rPr>
              <w:t>−1</w:t>
            </w:r>
          </w:p>
        </w:tc>
        <w:tc>
          <w:tcPr>
            <w:tcW w:w="794" w:type="dxa"/>
            <w:shd w:val="clear" w:color="auto" w:fill="auto"/>
            <w:noWrap/>
          </w:tcPr>
          <w:p w14:paraId="2A1BA658"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QFF</w:t>
            </w:r>
          </w:p>
        </w:tc>
        <w:tc>
          <w:tcPr>
            <w:tcW w:w="1191" w:type="dxa"/>
            <w:shd w:val="clear" w:color="auto" w:fill="auto"/>
            <w:noWrap/>
          </w:tcPr>
          <w:p w14:paraId="01C9453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217191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1CF8BC8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w:t>
            </w:r>
          </w:p>
        </w:tc>
        <w:tc>
          <w:tcPr>
            <w:tcW w:w="1077" w:type="dxa"/>
            <w:shd w:val="clear" w:color="auto" w:fill="auto"/>
            <w:noWrap/>
          </w:tcPr>
          <w:p w14:paraId="0D650F5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w:t>
            </w:r>
            <w:r w:rsidRPr="00C9504C">
              <w:rPr>
                <w:rFonts w:ascii="Arial" w:hAnsi="Arial" w:cs="Arial"/>
                <w:sz w:val="20"/>
                <w:szCs w:val="20"/>
                <w:vertAlign w:val="superscript"/>
                <w:lang w:val="en-US"/>
              </w:rPr>
              <w:t>2</w:t>
            </w:r>
            <w:r w:rsidRPr="00C9504C">
              <w:rPr>
                <w:rFonts w:ascii="Arial" w:hAnsi="Arial" w:cs="Arial"/>
                <w:sz w:val="20"/>
                <w:szCs w:val="20"/>
                <w:lang w:val="en-US"/>
              </w:rPr>
              <w:t>:</w:t>
            </w:r>
          </w:p>
          <w:p w14:paraId="790B1C7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&gt;0.99</w:t>
            </w:r>
          </w:p>
          <w:p w14:paraId="3A506F4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3AC9D37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&lt;15%</w:t>
            </w:r>
          </w:p>
        </w:tc>
        <w:tc>
          <w:tcPr>
            <w:tcW w:w="907" w:type="dxa"/>
          </w:tcPr>
          <w:p w14:paraId="6BC2E39B"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2EA2ADE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DR</w:t>
            </w:r>
          </w:p>
        </w:tc>
        <w:tc>
          <w:tcPr>
            <w:tcW w:w="907" w:type="dxa"/>
          </w:tcPr>
          <w:p w14:paraId="31F6C6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{"citationID":"NEYs9iFf","properties":{"formattedCitation":"(82)","plainCitation":"(82)","dontUpdate":true,"noteIndex":0},"citationItems":[{"id":1144,"uris":["http://zotero.org/users/12446040/items/XL4TA84S"],"itemData":{"id":1144,"type":"article-journal","abstract":"Organic carbon (OC), elemental carbon (EC), and non-polar organic compounds including n-alkanes (n-C14-n-C40), polycyclic aromatic hydrocarbons (PAHs), phthalate esters (PAEs) and hopanes were quantified in fine particulate (PM2.5), which were collected in urban area of Guangzhou, China in winter and summer in 2012/2013. The pollutants levels were well comparable with the data obtained in previous studies in Pearl River Delta (PRD) region but much lower than most northern Chinese megacities. The contribution of EC to PM2.5 and OC/EC ratio suggest that the pollution sources were relatively consistent in GZ between the two seasons. Benzo[a]pyrene (BaP) was the most abundant PAHs, which were 4.9 and 1.0ng/m3 on average, accounting for 10.7% and 9.1% to the total quantified PAHs in winter and summer, respectively. The total concentrations of PAEs ranged from 289.1 to 2435ng/m3 and from 102.4 to 1437ng/m3, respectively, in winter and summer. Di-n-butyl phthalate (DBP) was the most dominant PAEs. The ambient levels of PAEs could be partly attributed to the widespread uses of the household products, municipal garbage compressing, sewage, and external painting material on the building. Source apportionment for OC with chemical mass balance (CMB) model demonstrated coal combustion, vehicle emission, cooking, and secondary organic compounds (SOC) formation were the four major pollution sources. Both of the indices of n-alkanes and diagnostic PAHs ratios support that anthropogenic sources such as vehicle emission and coal combustion were the significant pollution sources with some extents from epicuticular waxes by terrestrial plants. The ratio of hopanes to EC proved the influences from vehicle emission, and displayed a certain degree of the air aging in the Guangzhou ambient air.","container-title":"Science of The Total Environment","DOI":"10.1016/j.scitotenv.2016.01.138","ISSN":"0048-9697","journalAbbreviation":"Science of The Total Environment","page":"961-971","source":"ScienceDirect","title":"Characterization of PM2.5 in Guangzhou, China: uses of organic markers for supporting source apportionment","title-short":"Characterization of PM2.5 in Guangzhou, China","volume":"550","author":[{"family":"Wang","given":"Jingzhi"},{"family":"Ho","given":"Steven Sai Hang"},{"family":"Ma","given":"Shexia"},{"family":"Cao","given":"Junji"},{"family":"Dai","given":"Wenting"},{"family":"Liu","given":"Suixin"},{"family":"Shen","given":"Zhenxing"},{"family":"Huang","given":"Rujin"},{"family":"Wang","given":"Gehui"},{"family":"Han","given":"Yongming"}],"issued":{"date-parts":[["2016",4,15]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[82]</w:t>
            </w:r>
            <w:r w:rsidRPr="00C9504C">
              <w:rPr>
                <w:rFonts w:ascii="Arial" w:hAnsi="Arial" w:cs="Arial"/>
                <w:sz w:val="20"/>
                <w:szCs w:val="20"/>
              </w:rPr>
              <w:fldChar w:fldCharType="end"/>
            </w:r>
          </w:p>
        </w:tc>
      </w:tr>
      <w:tr w:rsidR="006751F9" w:rsidRPr="00AE1E24" w14:paraId="6BCB5838" w14:textId="77777777" w:rsidTr="00420FF2">
        <w:trPr>
          <w:trHeight w:val="300"/>
          <w:jc w:val="center"/>
        </w:trPr>
        <w:tc>
          <w:tcPr>
            <w:tcW w:w="737" w:type="dxa"/>
            <w:shd w:val="clear" w:color="auto" w:fill="auto"/>
            <w:noWrap/>
          </w:tcPr>
          <w:p w14:paraId="1CF96B5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2796DE2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Xi’an, China</w:t>
            </w:r>
          </w:p>
        </w:tc>
        <w:tc>
          <w:tcPr>
            <w:tcW w:w="1191" w:type="dxa"/>
            <w:shd w:val="clear" w:color="auto" w:fill="auto"/>
            <w:noWrap/>
          </w:tcPr>
          <w:p w14:paraId="61D4CB2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3B82098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2016–Nov. 2017 (132)</w:t>
            </w:r>
          </w:p>
        </w:tc>
        <w:tc>
          <w:tcPr>
            <w:tcW w:w="1134" w:type="dxa"/>
            <w:shd w:val="clear" w:color="auto" w:fill="auto"/>
            <w:noWrap/>
          </w:tcPr>
          <w:p w14:paraId="06B47E0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555286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tcPr>
          <w:p w14:paraId="59FC589E"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GFF</w:t>
            </w:r>
          </w:p>
        </w:tc>
        <w:tc>
          <w:tcPr>
            <w:tcW w:w="1191" w:type="dxa"/>
            <w:shd w:val="clear" w:color="auto" w:fill="auto"/>
            <w:noWrap/>
          </w:tcPr>
          <w:p w14:paraId="40E08EB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01D11E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GC-FID</w:t>
            </w:r>
          </w:p>
        </w:tc>
        <w:tc>
          <w:tcPr>
            <w:tcW w:w="1134" w:type="dxa"/>
            <w:shd w:val="clear" w:color="auto" w:fill="auto"/>
            <w:noWrap/>
          </w:tcPr>
          <w:p w14:paraId="4E7B1C2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Hx, Ace</w:t>
            </w:r>
          </w:p>
        </w:tc>
        <w:tc>
          <w:tcPr>
            <w:tcW w:w="1077" w:type="dxa"/>
            <w:shd w:val="clear" w:color="auto" w:fill="auto"/>
            <w:noWrap/>
          </w:tcPr>
          <w:p w14:paraId="63F339C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 75</w:t>
            </w:r>
            <w:r w:rsidRPr="0085132E">
              <w:rPr>
                <w:rFonts w:ascii="Arial" w:hAnsi="Arial" w:cs="Arial"/>
                <w:color w:val="000000" w:themeColor="text1"/>
                <w:sz w:val="20"/>
                <w:szCs w:val="20"/>
                <w:lang w:val="en-US"/>
              </w:rPr>
              <w:t>%</w:t>
            </w:r>
            <w:r w:rsidRPr="00C9504C">
              <w:rPr>
                <w:rFonts w:ascii="Arial" w:hAnsi="Arial" w:cs="Arial"/>
                <w:sz w:val="20"/>
                <w:szCs w:val="20"/>
                <w:lang w:val="en-US"/>
              </w:rPr>
              <w:t>−111%</w:t>
            </w:r>
          </w:p>
        </w:tc>
        <w:tc>
          <w:tcPr>
            <w:tcW w:w="907" w:type="dxa"/>
          </w:tcPr>
          <w:p w14:paraId="04FBF6E3"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513B1E6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DR, PMF,</w:t>
            </w:r>
          </w:p>
          <w:p w14:paraId="640A619B"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w:t>
            </w:r>
          </w:p>
        </w:tc>
        <w:tc>
          <w:tcPr>
            <w:tcW w:w="907" w:type="dxa"/>
          </w:tcPr>
          <w:p w14:paraId="7D4F71B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{"citationID":"fFH9KLJC","properties":{"formattedCitation":"(83)","plainCitation":"(83)","dontUpdate":true,"noteIndex":0},"citationItems":[{"id":546,"uris":["http://zotero.org/users/12446040/items/WTRU9H3B"],"itemData":{"id":546,"type":"article-journal","abstract":"Atmospheric particulate matter (PM2.5 and PM10) samples were collected at urban and suburban sites in Xi'an City from December 2016 to November 2017. Sixteen priority polycyclic aromatic hydrocarbons (PAHs) associated with PM2.5 and PM10 were analyzed for their seasonal variations, sources, health risks, and influencing factors. The results showed that the annual average concentrations of PM2.5 and PM10 were 111 and 185 μg/m3, respectively, exceeding the National Ambient Air Quality Standard of China (35 μg/m3 for PM2.5 and 70 μg/m3 for PM10 in Grade II). The annual averages of PM2.5- and PM10-bound total PAHs were 63.1 and 66.8 ng/m3, respectively, with a PM2.5 decrease in the order of winter (115 ng/m3) &gt; &gt; spring (47.6 ng/m3) &gt; summer (33.2 ng/m3) &gt; autumn (30.8 ng/m3) and a PM10 decrease in the order of winter (127 ng/m3) &gt; &gt; spring (55.6 ng/m3) &gt; autumn (32.6 ng/m3) &gt; summer (30.2 ng/m3). The most abundant PAHs were benzo[a]anthracene, benzo[b]fluoranthene, and fluoranthene. The PM2.5- and PM10-bound PAHs were originated mainly from traffic emissions (51.0% and 43.4%), followed by combustion of biomass (20.4% and 23.6%) and coal (16.8% and 23.1%). Pressure and relative humidity were positively correlated with PM2.5 and PM10 as well as PM2.5- and PM10-bound PAHs, while temperature, visibility and wind speed had negative correlations. The annual means of TEQs (toxic equivalency quantities) for the 16 PAHs in PM2.5 and PM10 were 10.1 and 10.2 ng/m3, respectively, being attributed to 7 carcinogenic PAHs (&gt; 95%). The ECRs (lifetime excess cancer risks) for PM2.5- and PM10-bound PAHs were 1.12 × 10−3 and 1.17 × 10−3, i.e., 1125 and 1169 lung cancer cases per million, respectively. The ILCRs (incremental lifetime cancer risks) due to PM2.5- and PM10-bound PAHs for adults (1.21 × 10−6 and 1.26 × 10−6) were larger than those for children (2.09 × 10−7 and 2.17 × 10−7), with acceptable carcinogenic risks. The ambient levels of PM and most PM-bound PAHs as well as their TEQs, ECRs and ILCRs exhibited a spatial pattern of the suburban site &gt; the urban site and a seasonality with winter and spring &gt; summer and autumn. The results suggest that it is important to control PM2.5 and PM10 for local air quality improvement and special attention should be paid to PM and PM-bound PAHs in suburban areas, particularly in winter and spring.","container-title":"Atmospheric Research","DOI":"10.1016/j.atmosres.2019.06.014","ISSN":"0169-8095","journalAbbreviation":"Atmospheric Research","page":"60-73","source":"ScienceDirect","title":"Polycyclic aromatic hydrocarbons in atmospheric PM2.5 and PM10 in the semi-arid city of Xi'an, Northwest China: Seasonal variations, sources, health risks, and relationships with meteorological factors","title-short":"Polycyclic aromatic hydrocarbons in atmospheric PM2.5 and PM10 in the semi-arid city of Xi'an, Northwest China","volume":"229","author":[{"family":"Wang","given":"Lijun"},{"family":"Dong","given":"Shuzhen"},{"family":"Liu","given":"Mengmei"},{"family":"Tao","given":"Wendong"},{"family":"Xiao","given":"Bo"},{"family":"Zhang","given":"Shengwei"},{"family":"Zhang","given":"Panqing"},{"family":"Li","given":"Xiaoping"}],"issued":{"date-parts":[["2019",11,15]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[83]</w:t>
            </w:r>
            <w:r w:rsidRPr="00C9504C">
              <w:rPr>
                <w:rFonts w:ascii="Arial" w:hAnsi="Arial" w:cs="Arial"/>
                <w:sz w:val="20"/>
                <w:szCs w:val="20"/>
              </w:rPr>
              <w:fldChar w:fldCharType="end"/>
            </w:r>
          </w:p>
        </w:tc>
      </w:tr>
      <w:tr w:rsidR="006751F9" w:rsidRPr="00AE1E24" w14:paraId="4A376E95" w14:textId="77777777" w:rsidTr="00420FF2">
        <w:trPr>
          <w:trHeight w:val="300"/>
          <w:jc w:val="center"/>
        </w:trPr>
        <w:tc>
          <w:tcPr>
            <w:tcW w:w="737" w:type="dxa"/>
            <w:shd w:val="clear" w:color="auto" w:fill="auto"/>
            <w:noWrap/>
          </w:tcPr>
          <w:p w14:paraId="7304403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0520A97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Xi’an, China</w:t>
            </w:r>
          </w:p>
        </w:tc>
        <w:tc>
          <w:tcPr>
            <w:tcW w:w="1191" w:type="dxa"/>
            <w:shd w:val="clear" w:color="auto" w:fill="auto"/>
            <w:noWrap/>
          </w:tcPr>
          <w:p w14:paraId="5113181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648F477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2013–Dec. 2013 (568)</w:t>
            </w:r>
          </w:p>
        </w:tc>
        <w:tc>
          <w:tcPr>
            <w:tcW w:w="1134" w:type="dxa"/>
            <w:shd w:val="clear" w:color="auto" w:fill="auto"/>
            <w:noWrap/>
          </w:tcPr>
          <w:p w14:paraId="67B4E99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2272CF8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 L min</w:t>
            </w:r>
            <w:r w:rsidRPr="00C9504C">
              <w:rPr>
                <w:rFonts w:ascii="Arial" w:hAnsi="Arial" w:cs="Arial"/>
                <w:sz w:val="20"/>
                <w:szCs w:val="20"/>
                <w:vertAlign w:val="superscript"/>
                <w:lang w:val="en-US"/>
              </w:rPr>
              <w:t>−1</w:t>
            </w:r>
          </w:p>
        </w:tc>
        <w:tc>
          <w:tcPr>
            <w:tcW w:w="794" w:type="dxa"/>
            <w:shd w:val="clear" w:color="auto" w:fill="auto"/>
            <w:noWrap/>
          </w:tcPr>
          <w:p w14:paraId="299131CF"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QFF</w:t>
            </w:r>
          </w:p>
        </w:tc>
        <w:tc>
          <w:tcPr>
            <w:tcW w:w="1191" w:type="dxa"/>
            <w:shd w:val="clear" w:color="auto" w:fill="auto"/>
            <w:noWrap/>
          </w:tcPr>
          <w:p w14:paraId="4230A70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5F8435F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TD-GC-MS</w:t>
            </w:r>
          </w:p>
        </w:tc>
        <w:tc>
          <w:tcPr>
            <w:tcW w:w="1134" w:type="dxa"/>
            <w:shd w:val="clear" w:color="auto" w:fill="auto"/>
            <w:noWrap/>
          </w:tcPr>
          <w:p w14:paraId="6E174C0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0ECD6A3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79706B36"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NIST SRM 1649a</w:t>
            </w:r>
          </w:p>
        </w:tc>
        <w:tc>
          <w:tcPr>
            <w:tcW w:w="1247" w:type="dxa"/>
          </w:tcPr>
          <w:p w14:paraId="68CDEF66"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 DR, PMF</w:t>
            </w:r>
          </w:p>
        </w:tc>
        <w:tc>
          <w:tcPr>
            <w:tcW w:w="907" w:type="dxa"/>
          </w:tcPr>
          <w:p w14:paraId="3F6614C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Yc3RaeGh","properties":{"formattedCitation":"(84)","plainCitation":"(84)","dontUpdate":true,"noteIndex":0},"citationItems":[{"id":"HbwwkMxO/dqjS7WMb","uris":["http://zotero.org/users/12446040/items/XLIT8CW5"],"itemData":{"id":1073,"type":"article-journal","abstract":"Semantic Scholar extracted view of \"Seasonal variation, spatial distribution and source apportionment for polycyclic aromatic hydrocarbons (PAHs) at nineteen communities in Xi'an, China: The effects of suburban scattered emissions in winter.\" by Jingzhi Wang et al.","container-title":"Environmental Pollution","DOI":"10.1016/j.envpol.2017.08.106","ISSN":"02697491","journalAbbreviation":"Environmental Pollution","language":"en","page":"1330-1343","source":"Semantic Scholar","title":"Seasonal variation, spatial distribution and source apportionment for polycyclic aromatic hydrocarbons (PAHs) at nineteen communities in Xi'an, China: The effects of suburban scattered emissions in winter","title-short":"Seasonal variation, spatial distribution and source apportionment for polycyclic aromatic hydrocarbons (PAHs) at nineteen communities in Xi'an, China","volume":"231","author":[{"family":"Wang","given":"Jingzhi"},{"family":"Cao","given":"Junji"},{"family":"Dong","given":"Zhibao"},{"family":"Guinot","given":"Benjamin"},{"family":"Gao","given":"Meiling"},{"family":"Huang","given":"Rujin"},{"family":"Han","given":"Yongming"},{"family":"Huang","given":"Yu"},{"family":"Ho","given":"Steven Sai Hang"},{"family":"Shen","given":"Zhenxing"}],"issued":{"date-parts":[["2017",12]]}}}],"schema":"https://github.com/citation-style-language/schema/raw/master/csl-citation.json"}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[84</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60F73B7A" w14:textId="77777777" w:rsidTr="00420FF2">
        <w:trPr>
          <w:trHeight w:val="300"/>
          <w:jc w:val="center"/>
        </w:trPr>
        <w:tc>
          <w:tcPr>
            <w:tcW w:w="737" w:type="dxa"/>
            <w:shd w:val="clear" w:color="auto" w:fill="auto"/>
            <w:noWrap/>
          </w:tcPr>
          <w:p w14:paraId="4B9A19A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1D6049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Wuhan, China</w:t>
            </w:r>
          </w:p>
        </w:tc>
        <w:tc>
          <w:tcPr>
            <w:tcW w:w="1191" w:type="dxa"/>
            <w:shd w:val="clear" w:color="auto" w:fill="auto"/>
            <w:noWrap/>
          </w:tcPr>
          <w:p w14:paraId="3A7BCDAF"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EL</w:t>
            </w:r>
          </w:p>
        </w:tc>
        <w:tc>
          <w:tcPr>
            <w:tcW w:w="1134" w:type="dxa"/>
            <w:shd w:val="clear" w:color="auto" w:fill="auto"/>
            <w:noWrap/>
          </w:tcPr>
          <w:p w14:paraId="3A8E738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Oct. 2011–Jul. 2012 (168)</w:t>
            </w:r>
          </w:p>
        </w:tc>
        <w:tc>
          <w:tcPr>
            <w:tcW w:w="1134" w:type="dxa"/>
            <w:shd w:val="clear" w:color="auto" w:fill="auto"/>
            <w:noWrap/>
          </w:tcPr>
          <w:p w14:paraId="05F33B1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MVS</w:t>
            </w:r>
          </w:p>
        </w:tc>
        <w:tc>
          <w:tcPr>
            <w:tcW w:w="737" w:type="dxa"/>
            <w:shd w:val="clear" w:color="auto" w:fill="auto"/>
            <w:noWrap/>
          </w:tcPr>
          <w:p w14:paraId="5F2FBA6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tcPr>
          <w:p w14:paraId="450EC65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2DC48B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 PAH</w:t>
            </w:r>
          </w:p>
        </w:tc>
        <w:tc>
          <w:tcPr>
            <w:tcW w:w="1134" w:type="dxa"/>
          </w:tcPr>
          <w:p w14:paraId="37DF063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ICP-OES, GC-MS</w:t>
            </w:r>
          </w:p>
        </w:tc>
        <w:tc>
          <w:tcPr>
            <w:tcW w:w="1134" w:type="dxa"/>
            <w:shd w:val="clear" w:color="auto" w:fill="auto"/>
            <w:noWrap/>
          </w:tcPr>
          <w:p w14:paraId="01FDAB52"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HP and UAE with HNO</w:t>
            </w:r>
            <w:r w:rsidRPr="00C9504C">
              <w:rPr>
                <w:rFonts w:ascii="Arial" w:hAnsi="Arial" w:cs="Arial"/>
                <w:sz w:val="20"/>
                <w:szCs w:val="20"/>
                <w:vertAlign w:val="subscript"/>
                <w:lang w:val="en-US"/>
              </w:rPr>
              <w:t>3</w:t>
            </w:r>
            <w:r w:rsidRPr="00C9504C">
              <w:rPr>
                <w:rFonts w:ascii="Arial" w:hAnsi="Arial" w:cs="Arial"/>
                <w:sz w:val="20"/>
                <w:szCs w:val="20"/>
                <w:lang w:val="en-US"/>
              </w:rPr>
              <w:t>, HClO</w:t>
            </w:r>
            <w:r w:rsidRPr="00C9504C">
              <w:rPr>
                <w:rFonts w:ascii="Arial" w:hAnsi="Arial" w:cs="Arial"/>
                <w:sz w:val="20"/>
                <w:szCs w:val="20"/>
                <w:vertAlign w:val="subscript"/>
                <w:lang w:val="en-US"/>
              </w:rPr>
              <w:t>4</w:t>
            </w:r>
            <w:r w:rsidRPr="00C9504C">
              <w:rPr>
                <w:rFonts w:ascii="Arial" w:hAnsi="Arial" w:cs="Arial"/>
                <w:sz w:val="20"/>
                <w:szCs w:val="20"/>
                <w:lang w:val="en-US"/>
              </w:rPr>
              <w:t>; UAE with DCM, MeOH</w:t>
            </w:r>
          </w:p>
        </w:tc>
        <w:tc>
          <w:tcPr>
            <w:tcW w:w="1077" w:type="dxa"/>
            <w:shd w:val="clear" w:color="auto" w:fill="auto"/>
            <w:noWrap/>
          </w:tcPr>
          <w:p w14:paraId="7BA225A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168A7E3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88</w:t>
            </w:r>
            <w:r w:rsidRPr="0085132E">
              <w:rPr>
                <w:rFonts w:ascii="Arial" w:hAnsi="Arial" w:cs="Arial"/>
                <w:color w:val="000000" w:themeColor="text1"/>
                <w:sz w:val="20"/>
                <w:szCs w:val="20"/>
                <w:lang w:val="en-US"/>
              </w:rPr>
              <w:t>%</w:t>
            </w:r>
            <w:r w:rsidRPr="00C9504C">
              <w:rPr>
                <w:rFonts w:ascii="Arial" w:hAnsi="Arial" w:cs="Arial"/>
                <w:sz w:val="20"/>
                <w:szCs w:val="20"/>
                <w:lang w:val="en-US"/>
              </w:rPr>
              <w:t xml:space="preserve">−95%for metals, </w:t>
            </w:r>
          </w:p>
          <w:p w14:paraId="5A18BD99"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80</w:t>
            </w:r>
            <w:r w:rsidRPr="0085132E">
              <w:rPr>
                <w:rFonts w:ascii="Arial" w:hAnsi="Arial" w:cs="Arial"/>
                <w:color w:val="000000" w:themeColor="text1"/>
                <w:sz w:val="20"/>
                <w:szCs w:val="20"/>
                <w:lang w:val="en-US"/>
              </w:rPr>
              <w:t>%</w:t>
            </w:r>
            <w:r w:rsidRPr="00C9504C">
              <w:rPr>
                <w:rFonts w:ascii="Arial" w:hAnsi="Arial" w:cs="Arial"/>
                <w:sz w:val="20"/>
                <w:szCs w:val="20"/>
                <w:lang w:val="en-US"/>
              </w:rPr>
              <w:t>−112% for PAHs</w:t>
            </w:r>
          </w:p>
        </w:tc>
        <w:tc>
          <w:tcPr>
            <w:tcW w:w="907" w:type="dxa"/>
          </w:tcPr>
          <w:p w14:paraId="022E8A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4E86E3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BTA, CMB</w:t>
            </w:r>
          </w:p>
        </w:tc>
        <w:tc>
          <w:tcPr>
            <w:tcW w:w="907" w:type="dxa"/>
          </w:tcPr>
          <w:p w14:paraId="27DCE98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{"citationID":"hUrvr4TW","properties":{"formattedCitation":"(85)","plainCitation":"(85)","dontUpdate":true,"noteIndex":0},"citationItems":[{"id":1142,"uris":["http://zotero.org/users/12446040/items/IDQLBU9L"],"itemData":{"id":1142,"type":"article-journal","abstract":"Fine particle (PM2.5) samples were collected in 2011 and 2012 simultaneously at three sites in Wuhan in an industrial area (ID), downtown Wuhan (DT), and the Wuhan botanical gardens (BG). The annual average concentration of PM2.5 was highest in the industrial area at 180μgm−3 and lowest in the botanical gardens, with an average of 93μgm−3. The average downtown PM2.5 concentration was 113μgm−3. All sites had concentrations well above the World Health Organization (WHO) guidelines and the Chinese air quality standard. The concentration of major constituents of PM2.5 varied seasonally across all sites; specifically, sulfate, nitrate, and organic carbon varied most strongly during spring, followed by summer and fall. Organic carbon varied the most across sites for all seasons, which is attributable to large differences in local source emissions. The major primary sources contributing to OC were vehicle emissions (38.1±8.3%), coal combustion (7.0±6.2%), meat cooking (3.0±1.6%), and biomass burning (3.0±1.0%). All these sources had large seasonal variations across the three sites. Biomass burning had the largest impact at BG, mobile sources had the largest impact at DT, and coal combustion had the largest impact at ID. Mineral dust was a major contributor to PM2.5 (average 16.8±9.6μgm−3) and had very homogenous concentrations across the sites during springtime due to regional dust storms, but had much higher concentration at ID during the summer and fall. The results demonstrate the need for both regional and local air pollution control strategies to reduce air pollution in Wuhan. This research contributes to the field of particulate matter studies by providing information about seasonal and regional fluctuations in PM2.5 in large urban areas, which helps advance understanding of the sources responsible for urban haze.","container-title":"Science of The Total Environment","DOI":"10.1016/j.scitotenv.2016.10.150","ISSN":"0048-9697","journalAbbreviation":"Science of The Total Environment","page":"155-165","source":"ScienceDirect","title":"Seasonal and spatial differences in source contributions to PM2.5 in Wuhan, China","volume":"577","author":[{"family":"Xiong","given":"Ying"},{"family":"Zhou","given":"Jiabin"},{"family":"Schauer","given":"James J."},{"family":"Yu","given":"Wenyang"},{"family":"Hu","given":"Yan"}],"issued":{"date-parts":[["2017",1,15]]}}}],"schema":"https://github.com/citation-style-language/schema/raw/master/csl-citation.json"}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[85]</w:t>
            </w:r>
            <w:r w:rsidRPr="00C9504C">
              <w:rPr>
                <w:rFonts w:ascii="Arial" w:hAnsi="Arial" w:cs="Arial"/>
                <w:sz w:val="20"/>
                <w:szCs w:val="20"/>
              </w:rPr>
              <w:fldChar w:fldCharType="end"/>
            </w:r>
          </w:p>
        </w:tc>
      </w:tr>
      <w:tr w:rsidR="006751F9" w:rsidRPr="00AE1E24" w14:paraId="05852AF9" w14:textId="77777777" w:rsidTr="00420FF2">
        <w:trPr>
          <w:trHeight w:val="300"/>
          <w:jc w:val="center"/>
        </w:trPr>
        <w:tc>
          <w:tcPr>
            <w:tcW w:w="737" w:type="dxa"/>
            <w:shd w:val="clear" w:color="auto" w:fill="auto"/>
            <w:noWrap/>
          </w:tcPr>
          <w:p w14:paraId="07B19EF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442B8BC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Xi’an, China</w:t>
            </w:r>
          </w:p>
        </w:tc>
        <w:tc>
          <w:tcPr>
            <w:tcW w:w="1191" w:type="dxa"/>
            <w:shd w:val="clear" w:color="auto" w:fill="auto"/>
            <w:noWrap/>
          </w:tcPr>
          <w:p w14:paraId="559DE6F2"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134" w:type="dxa"/>
            <w:shd w:val="clear" w:color="auto" w:fill="auto"/>
            <w:noWrap/>
          </w:tcPr>
          <w:p w14:paraId="25B1BEB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2013 (72)</w:t>
            </w:r>
          </w:p>
        </w:tc>
        <w:tc>
          <w:tcPr>
            <w:tcW w:w="1134" w:type="dxa"/>
            <w:shd w:val="clear" w:color="auto" w:fill="auto"/>
            <w:noWrap/>
          </w:tcPr>
          <w:p w14:paraId="2EEE1C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7FB78AB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 L min</w:t>
            </w:r>
            <w:r w:rsidRPr="00C9504C">
              <w:rPr>
                <w:rFonts w:ascii="Arial" w:hAnsi="Arial" w:cs="Arial"/>
                <w:sz w:val="20"/>
                <w:szCs w:val="20"/>
                <w:vertAlign w:val="superscript"/>
                <w:lang w:val="en-US"/>
              </w:rPr>
              <w:t>−1</w:t>
            </w:r>
          </w:p>
        </w:tc>
        <w:tc>
          <w:tcPr>
            <w:tcW w:w="794" w:type="dxa"/>
            <w:shd w:val="clear" w:color="auto" w:fill="auto"/>
            <w:noWrap/>
          </w:tcPr>
          <w:p w14:paraId="3F52A1A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601106B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083AB1E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TD-GC-MS</w:t>
            </w:r>
          </w:p>
        </w:tc>
        <w:tc>
          <w:tcPr>
            <w:tcW w:w="1134" w:type="dxa"/>
            <w:shd w:val="clear" w:color="auto" w:fill="auto"/>
            <w:noWrap/>
          </w:tcPr>
          <w:p w14:paraId="4EC6EF10"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077" w:type="dxa"/>
            <w:shd w:val="clear" w:color="auto" w:fill="auto"/>
            <w:noWrap/>
          </w:tcPr>
          <w:p w14:paraId="40CE08F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RSD:</w:t>
            </w:r>
          </w:p>
          <w:p w14:paraId="3B3B930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w:t>
            </w:r>
            <w:r w:rsidRPr="0085132E">
              <w:rPr>
                <w:rFonts w:ascii="Arial" w:hAnsi="Arial" w:cs="Arial"/>
                <w:color w:val="000000" w:themeColor="text1"/>
                <w:sz w:val="20"/>
                <w:szCs w:val="20"/>
                <w:lang w:val="en-US"/>
              </w:rPr>
              <w:t>%</w:t>
            </w:r>
            <w:r w:rsidRPr="00C9504C">
              <w:rPr>
                <w:rFonts w:ascii="Arial" w:hAnsi="Arial" w:cs="Arial"/>
                <w:sz w:val="20"/>
                <w:szCs w:val="20"/>
                <w:lang w:val="en-US"/>
              </w:rPr>
              <w:t>−20%</w:t>
            </w:r>
          </w:p>
          <w:p w14:paraId="7784211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w:t>
            </w:r>
            <w:r w:rsidRPr="00C9504C">
              <w:rPr>
                <w:rFonts w:ascii="Arial" w:hAnsi="Arial" w:cs="Arial"/>
                <w:sz w:val="20"/>
                <w:szCs w:val="20"/>
                <w:vertAlign w:val="superscript"/>
                <w:lang w:val="en-US"/>
              </w:rPr>
              <w:t>2</w:t>
            </w:r>
            <w:r w:rsidRPr="00C9504C">
              <w:rPr>
                <w:rFonts w:ascii="Arial" w:hAnsi="Arial" w:cs="Arial"/>
                <w:sz w:val="20"/>
                <w:szCs w:val="20"/>
                <w:lang w:val="en-US"/>
              </w:rPr>
              <w:t>:</w:t>
            </w:r>
          </w:p>
          <w:p w14:paraId="22F6A6B5"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&gt;0.99</w:t>
            </w:r>
          </w:p>
        </w:tc>
        <w:tc>
          <w:tcPr>
            <w:tcW w:w="907" w:type="dxa"/>
          </w:tcPr>
          <w:p w14:paraId="6B66338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4AD3068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COD, DR, ILCR,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p>
        </w:tc>
        <w:tc>
          <w:tcPr>
            <w:tcW w:w="907" w:type="dxa"/>
          </w:tcPr>
          <w:p w14:paraId="1CAF20A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{"citationID":"KMlU2o7O","properties":{"formattedCitation":"(86)","plainCitation":"(86)","dontUpdate":true,"noteIndex":0},"citationItems":[{"id":1140,"uris":["http://zotero.org/users/12446040/items/FYWFUMYX"],"itemData":{"id":1140,"type":"article-journal","abstract":"Spatial variability of polycyclic aromatic hydrocarbons (PAHs) associated with fine particulate matter (PM2.5) was investigated in Xi'an, China, in summer of 2013. Sixteen priority PAHs were quantified in 24-h integrated air samples collected simultaneously at nine urban and suburban communities. The total quantified PAHs mass concentrations ranged from 32.4 to 104.7 ng m−3, with an average value of 57.1 ± 23.0 ng m−3. PAHs were observed higher concentrations at suburban communities (average: 86.3 ng m−3) than at urban ones (average: 48.8 ng m−3) due to a better enforcement of the pollution control policies at the urban scale, and meanwhile the disorganized management of motor vehicles and massive building constructions in the suburbs. Elevated PAH levels were observed in the industrialized regions (west and northwest of Xi'an) from Kriging interpolation analysis. Satellite-based visual interpretations of land use were also applied for the supporting the spatial distribution of PAHs among the communities. The average benzo[a]pyrene-equivalent toxicity (Σ[BaP]eq) at the nine communities was 6.9 ± 2.2 ng m−3 during the sampling period, showing a generally similar spatial distribution to PAHs levels. On average, the excess inhalation lifetime cancer risk derived from Σ[BaP]eq indicated that eight persons per million of community residents would develop cancer due to PM2.5-bound PAHs exposure in Xi'an. The great in-city spatial variability of PAHs confirmed the importance of multiple points sampling to conduct exposure health risk assessment.","container-title":"Environmental Pollution","DOI":"10.1016/j.envpol.2016.08.058","ISSN":"0269-7491","journalAbbreviation":"Environmental Pollution","page":"1065-1073","source":"ScienceDirect","title":"Microscale spatial distribution and health assessment of PM2.5-bound polycyclic aromatic hydrocarbons (PAHs) at nine communities in Xi'an, China","volume":"218","author":[{"family":"Xu","given":"Hongmei"},{"family":"Ho","given":"Steven Sai Hang"},{"family":"Gao","given":"Meiling"},{"family":"Cao","given":"Junji"},{"family":"Guinot","given":"Benjamin"},{"family":"Ho","given":"Kin Fai"},{"family":"Long","given":"Xin"},{"family":"Wang","given":"Jingzhi"},{"family":"Shen","given":"Zhenxing"},{"family":"Liu","given":"Suixin"},{"family":"Zheng","given":"Chunli"},{"family":"Zhang","given":"Qian"}],"issued":{"date-parts":[["2016",11,1]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[86</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02AAFF5F" w14:textId="77777777" w:rsidTr="00420FF2">
        <w:trPr>
          <w:trHeight w:val="300"/>
          <w:jc w:val="center"/>
        </w:trPr>
        <w:tc>
          <w:tcPr>
            <w:tcW w:w="737" w:type="dxa"/>
            <w:shd w:val="clear" w:color="auto" w:fill="auto"/>
            <w:noWrap/>
          </w:tcPr>
          <w:p w14:paraId="60CE46A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10</w:t>
            </w:r>
            <w:r w:rsidRPr="00C9504C">
              <w:rPr>
                <w:rFonts w:ascii="Arial" w:hAnsi="Arial" w:cs="Arial"/>
                <w:sz w:val="20"/>
                <w:szCs w:val="20"/>
                <w:lang w:val="en-US"/>
              </w:rPr>
              <w:t>, PM</w:t>
            </w:r>
            <w:r w:rsidRPr="00C9504C">
              <w:rPr>
                <w:rFonts w:ascii="Arial" w:hAnsi="Arial" w:cs="Arial"/>
                <w:sz w:val="20"/>
                <w:szCs w:val="20"/>
                <w:vertAlign w:val="subscript"/>
                <w:lang w:val="en-US"/>
              </w:rPr>
              <w:t>2.5</w:t>
            </w:r>
          </w:p>
        </w:tc>
        <w:tc>
          <w:tcPr>
            <w:tcW w:w="1417" w:type="dxa"/>
            <w:shd w:val="clear" w:color="auto" w:fill="auto"/>
            <w:noWrap/>
          </w:tcPr>
          <w:p w14:paraId="647A723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Hefei, China</w:t>
            </w:r>
          </w:p>
        </w:tc>
        <w:tc>
          <w:tcPr>
            <w:tcW w:w="1191" w:type="dxa"/>
            <w:shd w:val="clear" w:color="auto" w:fill="auto"/>
            <w:noWrap/>
          </w:tcPr>
          <w:p w14:paraId="487C0B6F"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EL</w:t>
            </w:r>
          </w:p>
        </w:tc>
        <w:tc>
          <w:tcPr>
            <w:tcW w:w="1134" w:type="dxa"/>
            <w:shd w:val="clear" w:color="auto" w:fill="auto"/>
            <w:noWrap/>
          </w:tcPr>
          <w:p w14:paraId="59CF734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Oct. 2016–Jan. 2017 (56)</w:t>
            </w:r>
          </w:p>
        </w:tc>
        <w:tc>
          <w:tcPr>
            <w:tcW w:w="1134" w:type="dxa"/>
            <w:shd w:val="clear" w:color="auto" w:fill="auto"/>
            <w:noWrap/>
          </w:tcPr>
          <w:p w14:paraId="0686F98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MVS</w:t>
            </w:r>
          </w:p>
        </w:tc>
        <w:tc>
          <w:tcPr>
            <w:tcW w:w="737" w:type="dxa"/>
            <w:shd w:val="clear" w:color="auto" w:fill="auto"/>
            <w:noWrap/>
          </w:tcPr>
          <w:p w14:paraId="031ED4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794" w:type="dxa"/>
            <w:shd w:val="clear" w:color="auto" w:fill="auto"/>
            <w:noWrap/>
          </w:tcPr>
          <w:p w14:paraId="50C48E2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1F8D6C3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0F7E78B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XRF</w:t>
            </w:r>
          </w:p>
        </w:tc>
        <w:tc>
          <w:tcPr>
            <w:tcW w:w="1134" w:type="dxa"/>
            <w:shd w:val="clear" w:color="auto" w:fill="auto"/>
            <w:noWrap/>
          </w:tcPr>
          <w:p w14:paraId="01E9D76E"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077" w:type="dxa"/>
            <w:shd w:val="clear" w:color="auto" w:fill="auto"/>
            <w:noWrap/>
          </w:tcPr>
          <w:p w14:paraId="02FA4D5D"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907" w:type="dxa"/>
          </w:tcPr>
          <w:p w14:paraId="577697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7B97E78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EF</w:t>
            </w:r>
          </w:p>
        </w:tc>
        <w:tc>
          <w:tcPr>
            <w:tcW w:w="907" w:type="dxa"/>
          </w:tcPr>
          <w:p w14:paraId="0D9AB1F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{"citationID":"TPtTxja5","properties":{"formattedCitation":"(87)","plainCitation":"(87)","dontUpdate":true,"noteIndex":0},"citationItems":[{"id":1092,"uris":["http://zotero.org/users/12446040/items/RLT5QXCS"],"itemData":{"id":1092,"type":"article-journal","abstract":"Atmospheric particulates were sampled in Hefei City, China from October 2016 to January 2017 to compare chemical compositions and sources of PM2.5 (particle size smaller than 2.5 μm) and PM10 (particle size smaller than 10 μm). The mean levels of PM2.5 and PM10 were 81 and 109 μg/m3, which are higher than the health threshold levels regulated by national and international standards. During the sampling period, AQI (Air Quality Index) was strongly correlated with PM2.5 (Pearson's coefficient r = 0.94) rather than PM10 concentrations. The PM2.5/PM10 ratios were approximately 0.7, revealing the characteristics of fine particle pollution. Pollution elements (S, Zn, Cu and Pb) took up a large proportion of the composition and had high enrichment factors of 437, 385, 20 and 53, respectively, in PM10. Coal combustion and high-tech manufacture industry discharges were suggested to be the main pollution sources of both PM2.5 and PM10. The PM2.5/PM10 ratios of anthropogenic element concentrations were much higher than ratios of earth crust element. As compared to PM10, S and Pb in PM2.5 had larger EFs, indicating that pollution elements were predominantly enriched in PM2.5. Furthermore, a paired sample t-test confirmed similar sources of PM2.5 and PM10. Our study provides basic database to evaluate the heavy metal pollution status of atmospheric particulates in Chinese cities.","container-title":"Chemosphere","DOI":"10.1016/j.chemosphere.2018.12.123","ISSN":"0045-6535","journalAbbreviation":"Chemosphere","page":"760-765","source":"ScienceDirect","title":"Similarities and differences in PM10 and PM2.5 concentrations, chemical compositions and sources in Hefei City, China","volume":"220","author":[{"family":"Xue","given":"Huaqin"},{"family":"Liu","given":"Guijian"},{"family":"Zhang","given":"Hong"},{"family":"Hu","given":"Ruoyu"},{"family":"Wang","given":"Xin"}],"issued":{"date-parts":[["2019",4,1]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[87]</w:t>
            </w:r>
            <w:r w:rsidRPr="00C9504C">
              <w:rPr>
                <w:rFonts w:ascii="Arial" w:hAnsi="Arial" w:cs="Arial"/>
                <w:sz w:val="20"/>
                <w:szCs w:val="20"/>
              </w:rPr>
              <w:fldChar w:fldCharType="end"/>
            </w:r>
          </w:p>
        </w:tc>
      </w:tr>
      <w:tr w:rsidR="006751F9" w:rsidRPr="00AE1E24" w14:paraId="3B315FCC" w14:textId="77777777" w:rsidTr="00420FF2">
        <w:trPr>
          <w:trHeight w:val="300"/>
          <w:jc w:val="center"/>
        </w:trPr>
        <w:tc>
          <w:tcPr>
            <w:tcW w:w="737" w:type="dxa"/>
            <w:shd w:val="clear" w:color="auto" w:fill="auto"/>
            <w:noWrap/>
          </w:tcPr>
          <w:p w14:paraId="7513856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08F27CFF"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Kirishima</w:t>
            </w:r>
            <w:proofErr w:type="spellEnd"/>
            <w:r w:rsidRPr="00C9504C">
              <w:rPr>
                <w:rFonts w:ascii="Arial" w:hAnsi="Arial" w:cs="Arial"/>
                <w:sz w:val="20"/>
                <w:szCs w:val="20"/>
                <w:lang w:val="en-US"/>
              </w:rPr>
              <w:t>, Japan</w:t>
            </w:r>
          </w:p>
        </w:tc>
        <w:tc>
          <w:tcPr>
            <w:tcW w:w="1191" w:type="dxa"/>
            <w:shd w:val="clear" w:color="auto" w:fill="auto"/>
            <w:noWrap/>
          </w:tcPr>
          <w:p w14:paraId="59B1F7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1B69862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Jul. 2017–</w:t>
            </w:r>
            <w:r w:rsidRPr="00C9504C">
              <w:rPr>
                <w:rFonts w:ascii="Arial" w:hAnsi="Arial" w:cs="Arial"/>
                <w:sz w:val="20"/>
                <w:szCs w:val="20"/>
                <w:lang w:val="en-US"/>
              </w:rPr>
              <w:lastRenderedPageBreak/>
              <w:t>Feb. 2018 (</w:t>
            </w:r>
            <w:r w:rsidRPr="00C9504C">
              <w:rPr>
                <w:rFonts w:ascii="Arial" w:hAnsi="Arial" w:cs="Arial"/>
                <w:i/>
                <w:sz w:val="20"/>
                <w:szCs w:val="20"/>
                <w:lang w:val="en-US"/>
              </w:rPr>
              <w:t>nr</w:t>
            </w:r>
            <w:r w:rsidRPr="00C9504C">
              <w:rPr>
                <w:rFonts w:ascii="Arial" w:hAnsi="Arial" w:cs="Arial"/>
                <w:sz w:val="20"/>
                <w:szCs w:val="20"/>
                <w:lang w:val="en-US"/>
              </w:rPr>
              <w:t>)</w:t>
            </w:r>
          </w:p>
        </w:tc>
        <w:tc>
          <w:tcPr>
            <w:tcW w:w="1134" w:type="dxa"/>
            <w:shd w:val="clear" w:color="auto" w:fill="auto"/>
            <w:noWrap/>
          </w:tcPr>
          <w:p w14:paraId="3A4BD0E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LVS</w:t>
            </w:r>
          </w:p>
        </w:tc>
        <w:tc>
          <w:tcPr>
            <w:tcW w:w="737" w:type="dxa"/>
            <w:shd w:val="clear" w:color="auto" w:fill="auto"/>
            <w:noWrap/>
          </w:tcPr>
          <w:p w14:paraId="0999B56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3 L min</w:t>
            </w:r>
            <w:r w:rsidRPr="00C9504C">
              <w:rPr>
                <w:rFonts w:ascii="Arial" w:hAnsi="Arial" w:cs="Arial"/>
                <w:sz w:val="20"/>
                <w:szCs w:val="20"/>
                <w:vertAlign w:val="superscript"/>
                <w:lang w:val="en-US"/>
              </w:rPr>
              <w:t>−1</w:t>
            </w:r>
          </w:p>
        </w:tc>
        <w:tc>
          <w:tcPr>
            <w:tcW w:w="794" w:type="dxa"/>
            <w:shd w:val="clear" w:color="auto" w:fill="auto"/>
            <w:noWrap/>
          </w:tcPr>
          <w:p w14:paraId="68D15D46"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QFF</w:t>
            </w:r>
          </w:p>
        </w:tc>
        <w:tc>
          <w:tcPr>
            <w:tcW w:w="1191" w:type="dxa"/>
            <w:shd w:val="clear" w:color="auto" w:fill="auto"/>
            <w:noWrap/>
          </w:tcPr>
          <w:p w14:paraId="42F4485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3088A38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HPLC</w:t>
            </w:r>
          </w:p>
        </w:tc>
        <w:tc>
          <w:tcPr>
            <w:tcW w:w="1134" w:type="dxa"/>
            <w:shd w:val="clear" w:color="auto" w:fill="auto"/>
            <w:noWrap/>
          </w:tcPr>
          <w:p w14:paraId="04F71F8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w:t>
            </w:r>
          </w:p>
        </w:tc>
        <w:tc>
          <w:tcPr>
            <w:tcW w:w="1077" w:type="dxa"/>
            <w:shd w:val="clear" w:color="auto" w:fill="auto"/>
            <w:noWrap/>
          </w:tcPr>
          <w:p w14:paraId="1782616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7FE08070"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62AC53D4"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PCA, DR</w:t>
            </w:r>
          </w:p>
        </w:tc>
        <w:tc>
          <w:tcPr>
            <w:tcW w:w="907" w:type="dxa"/>
          </w:tcPr>
          <w:p w14:paraId="0818D1B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{"citationID":"zG7PUd5S","properties":{"formattedCitation":"(88)","plainCitation":"(88)","dontUpdate":true,"noteIndex":0},"citationItems":[{"id":1045,"uris":["http://zotero.org/users/12446040/items/K6P6E3S2"],"itemData":{"id":1045,"type":"article-journal","abstract":"Total suspended particulate matter and fine particulate matter were collected in five East Asian cities (Sapporo, Sagamihara, Kirishima, Shenyang, and Vladivostok) during warm and cold periods from 2017 to 2018. Nine polycyclic aromatic hydrocarbons (PAHs) and three nitro-polycyclic aromatic hydrocarbons (NPAHs) were detected by high-performance liquid chromatography with a fluorescence detector. The average concentrations of ∑PAHs and ∑NPAHs differed significantly both temporally and spatially and were the lowest in Kirishima during the warm period (∑PAHs: 0.11 ± 0.06 ng m−3; ∑NPAHs: 1.23 ± 0.96 pg m−3) and the highest in Shenyang during the cold period (∑PAHs: 49.7 ± 21.8 ng m−3; ∑NPAHs: 357 ± 180 pg m−3). The average total benzo[a]pyrene-equivalent concentrations were also higher in Shenyang and Vladivostok than in Japanese cities. According to the results of source apportionment, traffic emissions impacted these cities in both the warm and cold periods, whereas coal combustion-generated effects were obvious in Shenyang and Vladivostok during the cold period. Furthermore, PAHs and NPAHs originating from the Asian continent, including Shenyang and Vladivostok, exerted some influence on Japanese cities, especially in the cold period. Compared to Japanese cities and Vladivostok, yearly variations in ∑PAHs and 1-nitropyrene in Shenyang showed that their concentrations were considerably lower than those reported in past studies, indicating the positive effects of air pollutant control policies in China. These results not only describe the current characteristics and yearly variations of PAHs and NPAHs in typical urban cities in East Asia but also, more importantly, reveal that the effects of the East Asian monsoon play an important role in the analysis of atmospheric behaviours of PAHs and NPAHs. Furthermore, this study supports the role of multinational cooperation to promote air pollution control in East Asia.","container-title":"Environmental Pollution","DOI":"10.1016/j.envpol.2021.117360","ISSN":"0269-7491","journalAbbreviation":"Environmental Pollution","page":"117360","source":"ScienceDirect","title":"Polycyclic aromatic hydrocarbons and nitro-polycyclic aromatic hydrocarbons in five East Asian cities: Seasonal characteristics, health risks, and yearly variations","title-short":"Polycyclic aromatic hydrocarbons and nitro-polycyclic aromatic hydrocarbons in five East Asian cities","volume":"287","author":[{"family":"Yang","given":"Lu"},{"family":"Zhang","given":"Lulu"},{"family":"Chen","given":"Lijiang"},{"family":"Han","given":"Chong"},{"family":"Akutagawa","given":"Tomoko"},{"family":"Endo","given":"Osamu"},{"family":"Yamauchi","given":"Masahito"},{"family":"Neroda","given":"Andrey"},{"family":"Toriba","given":"Akira"},{"family":"Tang","given":"Ning"}],"issued":{"date-parts":[["2021",10,15]]}}}],"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[88]</w:t>
            </w:r>
            <w:r w:rsidRPr="00C9504C">
              <w:rPr>
                <w:rFonts w:ascii="Arial" w:hAnsi="Arial" w:cs="Arial"/>
                <w:sz w:val="20"/>
                <w:szCs w:val="20"/>
              </w:rPr>
              <w:fldChar w:fldCharType="end"/>
            </w:r>
          </w:p>
        </w:tc>
      </w:tr>
      <w:tr w:rsidR="006751F9" w:rsidRPr="00AE1E24" w14:paraId="5C7592E2" w14:textId="77777777" w:rsidTr="00420FF2">
        <w:trPr>
          <w:trHeight w:val="300"/>
          <w:jc w:val="center"/>
        </w:trPr>
        <w:tc>
          <w:tcPr>
            <w:tcW w:w="737" w:type="dxa"/>
            <w:shd w:val="clear" w:color="auto" w:fill="auto"/>
            <w:noWrap/>
          </w:tcPr>
          <w:p w14:paraId="7034EF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lastRenderedPageBreak/>
              <w:t>PM</w:t>
            </w:r>
            <w:r w:rsidRPr="00C9504C">
              <w:rPr>
                <w:rFonts w:ascii="Arial" w:hAnsi="Arial" w:cs="Arial"/>
                <w:sz w:val="20"/>
                <w:szCs w:val="20"/>
                <w:vertAlign w:val="subscript"/>
                <w:lang w:val="en-US"/>
              </w:rPr>
              <w:t>&gt;9</w:t>
            </w:r>
            <w:r w:rsidRPr="00C9504C">
              <w:rPr>
                <w:rFonts w:ascii="Arial" w:hAnsi="Arial" w:cs="Arial"/>
                <w:sz w:val="20"/>
                <w:szCs w:val="20"/>
                <w:lang w:val="en-US"/>
              </w:rPr>
              <w:t>−PM</w:t>
            </w:r>
            <w:r w:rsidRPr="00C9504C">
              <w:rPr>
                <w:rFonts w:ascii="Arial" w:hAnsi="Arial" w:cs="Arial"/>
                <w:sz w:val="20"/>
                <w:szCs w:val="20"/>
                <w:vertAlign w:val="subscript"/>
                <w:lang w:val="en-US"/>
              </w:rPr>
              <w:t>&lt;0.4</w:t>
            </w:r>
          </w:p>
        </w:tc>
        <w:tc>
          <w:tcPr>
            <w:tcW w:w="1417" w:type="dxa"/>
            <w:shd w:val="clear" w:color="auto" w:fill="auto"/>
            <w:noWrap/>
          </w:tcPr>
          <w:p w14:paraId="39D6B0E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Beijing, </w:t>
            </w:r>
            <w:proofErr w:type="spellStart"/>
            <w:r w:rsidRPr="00C9504C">
              <w:rPr>
                <w:rFonts w:ascii="Arial" w:hAnsi="Arial" w:cs="Arial"/>
                <w:sz w:val="20"/>
                <w:szCs w:val="20"/>
                <w:lang w:val="en-US"/>
              </w:rPr>
              <w:t>Dunhuang</w:t>
            </w:r>
            <w:proofErr w:type="spellEnd"/>
            <w:r w:rsidRPr="00C9504C">
              <w:rPr>
                <w:rFonts w:ascii="Arial" w:hAnsi="Arial" w:cs="Arial"/>
                <w:sz w:val="20"/>
                <w:szCs w:val="20"/>
                <w:lang w:val="en-US"/>
              </w:rPr>
              <w:t xml:space="preserve">, Hefei, </w:t>
            </w:r>
            <w:proofErr w:type="spellStart"/>
            <w:r w:rsidRPr="00C9504C">
              <w:rPr>
                <w:rFonts w:ascii="Arial" w:hAnsi="Arial" w:cs="Arial"/>
                <w:sz w:val="20"/>
                <w:szCs w:val="20"/>
                <w:lang w:val="en-US"/>
              </w:rPr>
              <w:t>Hailun</w:t>
            </w:r>
            <w:proofErr w:type="spellEnd"/>
            <w:r w:rsidRPr="00C9504C">
              <w:rPr>
                <w:rFonts w:ascii="Arial" w:hAnsi="Arial" w:cs="Arial"/>
                <w:sz w:val="20"/>
                <w:szCs w:val="20"/>
                <w:lang w:val="en-US"/>
              </w:rPr>
              <w:t xml:space="preserve">, Kunming, </w:t>
            </w:r>
            <w:proofErr w:type="spellStart"/>
            <w:r w:rsidRPr="00C9504C">
              <w:rPr>
                <w:rFonts w:ascii="Arial" w:hAnsi="Arial" w:cs="Arial"/>
                <w:sz w:val="20"/>
                <w:szCs w:val="20"/>
                <w:lang w:val="en-US"/>
              </w:rPr>
              <w:t>Qianyanzhou</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Sanya</w:t>
            </w:r>
            <w:proofErr w:type="spellEnd"/>
            <w:r w:rsidRPr="00C9504C">
              <w:rPr>
                <w:rFonts w:ascii="Arial" w:hAnsi="Arial" w:cs="Arial"/>
                <w:sz w:val="20"/>
                <w:szCs w:val="20"/>
                <w:lang w:val="en-US"/>
              </w:rPr>
              <w:t xml:space="preserve">, </w:t>
            </w:r>
            <w:proofErr w:type="spellStart"/>
            <w:r w:rsidRPr="00C9504C">
              <w:rPr>
                <w:rFonts w:ascii="Arial" w:hAnsi="Arial" w:cs="Arial"/>
                <w:sz w:val="20"/>
                <w:szCs w:val="20"/>
                <w:lang w:val="en-US"/>
              </w:rPr>
              <w:t>Shapotou</w:t>
            </w:r>
            <w:proofErr w:type="spellEnd"/>
            <w:r w:rsidRPr="00C9504C">
              <w:rPr>
                <w:rFonts w:ascii="Arial" w:hAnsi="Arial" w:cs="Arial"/>
                <w:sz w:val="20"/>
                <w:szCs w:val="20"/>
                <w:lang w:val="en-US"/>
              </w:rPr>
              <w:t xml:space="preserve">, Taiyuan, </w:t>
            </w:r>
            <w:proofErr w:type="spellStart"/>
            <w:r w:rsidRPr="00C9504C">
              <w:rPr>
                <w:rFonts w:ascii="Arial" w:hAnsi="Arial" w:cs="Arial"/>
                <w:sz w:val="20"/>
                <w:szCs w:val="20"/>
                <w:lang w:val="en-US"/>
              </w:rPr>
              <w:t>Tongyu</w:t>
            </w:r>
            <w:proofErr w:type="spellEnd"/>
            <w:r w:rsidRPr="00C9504C">
              <w:rPr>
                <w:rFonts w:ascii="Arial" w:hAnsi="Arial" w:cs="Arial"/>
                <w:sz w:val="20"/>
                <w:szCs w:val="20"/>
                <w:lang w:val="en-US"/>
              </w:rPr>
              <w:t xml:space="preserve">, Wuxi, </w:t>
            </w:r>
            <w:proofErr w:type="spellStart"/>
            <w:r w:rsidRPr="00C9504C">
              <w:rPr>
                <w:rFonts w:ascii="Arial" w:hAnsi="Arial" w:cs="Arial"/>
                <w:sz w:val="20"/>
                <w:szCs w:val="20"/>
                <w:lang w:val="en-US"/>
              </w:rPr>
              <w:t>Xishuangbanna</w:t>
            </w:r>
            <w:proofErr w:type="spellEnd"/>
            <w:r w:rsidRPr="00C9504C">
              <w:rPr>
                <w:rFonts w:ascii="Arial" w:hAnsi="Arial" w:cs="Arial"/>
                <w:sz w:val="20"/>
                <w:szCs w:val="20"/>
                <w:lang w:val="en-US"/>
              </w:rPr>
              <w:t>, China</w:t>
            </w:r>
          </w:p>
        </w:tc>
        <w:tc>
          <w:tcPr>
            <w:tcW w:w="1191" w:type="dxa"/>
            <w:shd w:val="clear" w:color="auto" w:fill="auto"/>
            <w:noWrap/>
          </w:tcPr>
          <w:p w14:paraId="7C4DDFF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34" w:type="dxa"/>
            <w:shd w:val="clear" w:color="auto" w:fill="auto"/>
            <w:noWrap/>
          </w:tcPr>
          <w:p w14:paraId="5294FFB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Oct. 2012–Sep. 2013 (294)</w:t>
            </w:r>
          </w:p>
        </w:tc>
        <w:tc>
          <w:tcPr>
            <w:tcW w:w="1134" w:type="dxa"/>
            <w:shd w:val="clear" w:color="auto" w:fill="auto"/>
            <w:noWrap/>
          </w:tcPr>
          <w:p w14:paraId="3922B6F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LVS</w:t>
            </w:r>
          </w:p>
        </w:tc>
        <w:tc>
          <w:tcPr>
            <w:tcW w:w="737" w:type="dxa"/>
            <w:shd w:val="clear" w:color="auto" w:fill="auto"/>
            <w:noWrap/>
          </w:tcPr>
          <w:p w14:paraId="03D2175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28.3 L min</w:t>
            </w:r>
            <w:r w:rsidRPr="00C9504C">
              <w:rPr>
                <w:rFonts w:ascii="Arial" w:hAnsi="Arial" w:cs="Arial"/>
                <w:sz w:val="20"/>
                <w:szCs w:val="20"/>
                <w:vertAlign w:val="superscript"/>
                <w:lang w:val="en-US"/>
              </w:rPr>
              <w:t>−1</w:t>
            </w:r>
          </w:p>
        </w:tc>
        <w:tc>
          <w:tcPr>
            <w:tcW w:w="794" w:type="dxa"/>
            <w:shd w:val="clear" w:color="auto" w:fill="auto"/>
            <w:noWrap/>
          </w:tcPr>
          <w:p w14:paraId="2DD751BC"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QFF</w:t>
            </w:r>
          </w:p>
        </w:tc>
        <w:tc>
          <w:tcPr>
            <w:tcW w:w="1191" w:type="dxa"/>
            <w:shd w:val="clear" w:color="auto" w:fill="auto"/>
            <w:noWrap/>
          </w:tcPr>
          <w:p w14:paraId="386751F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6EBF70A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41528CC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 Hx</w:t>
            </w:r>
          </w:p>
        </w:tc>
        <w:tc>
          <w:tcPr>
            <w:tcW w:w="1077" w:type="dxa"/>
            <w:shd w:val="clear" w:color="auto" w:fill="auto"/>
            <w:noWrap/>
          </w:tcPr>
          <w:p w14:paraId="16F0099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11AD728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67</w:t>
            </w:r>
            <w:r w:rsidRPr="0085132E">
              <w:rPr>
                <w:rFonts w:ascii="Arial" w:hAnsi="Arial" w:cs="Arial"/>
                <w:color w:val="000000" w:themeColor="text1"/>
                <w:sz w:val="20"/>
                <w:szCs w:val="20"/>
                <w:lang w:val="en-US"/>
              </w:rPr>
              <w:t>%</w:t>
            </w:r>
            <w:r w:rsidRPr="00C9504C">
              <w:rPr>
                <w:rFonts w:ascii="Arial" w:hAnsi="Arial" w:cs="Arial"/>
                <w:sz w:val="20"/>
                <w:szCs w:val="20"/>
                <w:lang w:val="en-US"/>
              </w:rPr>
              <w:t>−138%</w:t>
            </w:r>
          </w:p>
        </w:tc>
        <w:tc>
          <w:tcPr>
            <w:tcW w:w="907" w:type="dxa"/>
          </w:tcPr>
          <w:p w14:paraId="46104CA3"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sz w:val="20"/>
                <w:szCs w:val="20"/>
                <w:lang w:val="en-US"/>
              </w:rPr>
              <w:t>NIST SRM 1649b</w:t>
            </w:r>
          </w:p>
        </w:tc>
        <w:tc>
          <w:tcPr>
            <w:tcW w:w="1247" w:type="dxa"/>
          </w:tcPr>
          <w:p w14:paraId="7A58D2A4"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DR, ILCR, PMF</w:t>
            </w:r>
          </w:p>
        </w:tc>
        <w:tc>
          <w:tcPr>
            <w:tcW w:w="907" w:type="dxa"/>
          </w:tcPr>
          <w:p w14:paraId="3C95DE1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{"citationID":"hki6Q4Lx","properties":{"formattedCitation":"(89)","plainCitation":"(89)","dontUpdate":true,"noteIndex":0},"citationItems":[{"id":279,"uris":["http://zotero.org/users/12446040/items/MERCTSJ4"],"itemData":{"id":279,"type":"article-journal","abstract":"Abstract. Polycyclic aromatic hydrocarbons (PAHs) are toxic compounds in the\natmosphere and have adverse effects on public health, especially through the\ninhalation of particulate matter (PM). At present, there is limited\nunderstanding of the size distribution of particulate-bound PAHs and their health\nrisks on a continental scale. In this study, we carried out a PM\ncampaign from October 2012 to September 2013 at 12 sampling sites simultaneously,\nincluding urban, suburban and remote sites in different regions of China.\nSize-segregated PAHs and typical tracers of coal combustion (picene), biomass\nburning (levoglucosan) and vehicle exhaust (hopanes) were measured. The annual averages of the 24 total measured PAHs (∑24PAHs) and benzo[a]pyrene\n(BaP) carcinogenic equivalent concentration (BaPeq) ranged from 7.56 to\n205 ng/m3 with a mean of 53.5 ng/m3 and from 0.21 to 22.2 ng/m3 with a mean of 5.02 ng/m3, respectively. At all the sites,\n∑24PAHs and BaPeq were dominant in the ultrafine particles\nwith aerodynamic diameter &lt; 1.1 µm, followed by those in the\nsize ranges of 1.1–3.3 µm and &gt; 3.3 µm. Compared\nwith southern China, northern China witnessed much higher ∑24PAHs (87.36 vs. 17.56 ng/m3), BaPeq (8.48 vs. 1.34 ng/m3) and PAHs' inhalation cancer risk\n(7.4 × 10−4 vs. 1.2 × 10−4). Nationwide increases\nin both PAH levels and inhalation cancer risk occurred in winter. The\nunfavorable meteorological conditions and enhanced emissions of coal\ncombustion and biomass burning together led to severe PAHs' pollution and\nhigh cancer risk in the atmosphere of northern China, especially during\nwinter. Coal combustion is the major source of BaPeq in all size\nparticles at most sampling sites. Our results suggested that the reduction\nof coal and biofuel consumption in the residential sector could be crucial\nand effective in lowering PAH concentrations and their inhalation cancer risk in\nChina.","container-title":"Atmospheric Chemistry and Physics","DOI":"10.5194/acp-20-14581-2020","ISSN":"1680-7324","issue":"23","journalAbbreviation":"Atmos. Chem. Phys.","language":"en","license":"https://creativecommons.org/licenses/by/4.0/","page":"14581-14595","source":"DOI.org (Crossref)","title":"Nationwide increase of polycyclic aromatic hydrocarbons in ultrafine particles during winter over China revealed by size-segregated measurements","volume":"20","author":[{"family":"Yu","given":"Qingqing"},{"family":"Ding","given":"Xiang"},{"family":"He","given":"Quanfu"},{"family":"Yang","given":"Weiqiang"},{"family":"Zhu","given":"Ming"},{"family":"Li","given":"Sheng"},{"family":"Zhang","given":"Runqi"},{"family":"Shen","given":"Ruqin"},{"family":"Zhang","given":"Yanli"},{"family":"Bi","given":"Xinhui"},{"family":"Wang","given":"Yuesi"},{"family":"Peng","given":"Ping'an"},{"family":"Wang","given":"Xinming"}],"issued":{"date-parts":[["2020",12,1]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[89]</w:t>
            </w:r>
            <w:r w:rsidRPr="00C9504C">
              <w:rPr>
                <w:rFonts w:ascii="Arial" w:hAnsi="Arial" w:cs="Arial"/>
                <w:sz w:val="20"/>
                <w:szCs w:val="20"/>
              </w:rPr>
              <w:fldChar w:fldCharType="end"/>
            </w:r>
          </w:p>
        </w:tc>
      </w:tr>
      <w:tr w:rsidR="006751F9" w:rsidRPr="00AE1E24" w14:paraId="005C42F5" w14:textId="77777777" w:rsidTr="00420FF2">
        <w:trPr>
          <w:trHeight w:val="300"/>
          <w:jc w:val="center"/>
        </w:trPr>
        <w:tc>
          <w:tcPr>
            <w:tcW w:w="737" w:type="dxa"/>
            <w:shd w:val="clear" w:color="auto" w:fill="auto"/>
            <w:noWrap/>
          </w:tcPr>
          <w:p w14:paraId="2590DE5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41AE7B3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Yangon, Myanmar</w:t>
            </w:r>
          </w:p>
        </w:tc>
        <w:tc>
          <w:tcPr>
            <w:tcW w:w="1191" w:type="dxa"/>
            <w:shd w:val="clear" w:color="auto" w:fill="auto"/>
            <w:noWrap/>
          </w:tcPr>
          <w:p w14:paraId="5DB984A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31230A2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Dec. 2016–Apr. 2017 (72)</w:t>
            </w:r>
          </w:p>
        </w:tc>
        <w:tc>
          <w:tcPr>
            <w:tcW w:w="1134" w:type="dxa"/>
            <w:shd w:val="clear" w:color="auto" w:fill="auto"/>
            <w:noWrap/>
          </w:tcPr>
          <w:p w14:paraId="2849744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MVS</w:t>
            </w:r>
          </w:p>
        </w:tc>
        <w:tc>
          <w:tcPr>
            <w:tcW w:w="737" w:type="dxa"/>
            <w:shd w:val="clear" w:color="auto" w:fill="auto"/>
            <w:noWrap/>
          </w:tcPr>
          <w:p w14:paraId="24FF8AA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0.3 m</w:t>
            </w:r>
            <w:r w:rsidRPr="00C9504C">
              <w:rPr>
                <w:rFonts w:ascii="Arial" w:hAnsi="Arial" w:cs="Arial"/>
                <w:sz w:val="20"/>
                <w:szCs w:val="20"/>
                <w:vertAlign w:val="superscript"/>
                <w:lang w:val="en-US"/>
              </w:rPr>
              <w:t>3</w:t>
            </w:r>
            <w:r w:rsidRPr="00C9504C">
              <w:rPr>
                <w:rFonts w:ascii="Arial" w:hAnsi="Arial" w:cs="Arial"/>
                <w:sz w:val="20"/>
                <w:szCs w:val="20"/>
                <w:lang w:val="en-US"/>
              </w:rPr>
              <w:t xml:space="preserve"> h</w:t>
            </w:r>
            <w:r w:rsidRPr="00C9504C">
              <w:rPr>
                <w:rFonts w:ascii="Arial" w:hAnsi="Arial" w:cs="Arial"/>
                <w:sz w:val="20"/>
                <w:szCs w:val="20"/>
                <w:vertAlign w:val="superscript"/>
                <w:lang w:val="en-US"/>
              </w:rPr>
              <w:t>−1</w:t>
            </w:r>
          </w:p>
        </w:tc>
        <w:tc>
          <w:tcPr>
            <w:tcW w:w="794" w:type="dxa"/>
            <w:shd w:val="clear" w:color="auto" w:fill="auto"/>
            <w:noWrap/>
          </w:tcPr>
          <w:p w14:paraId="7A77435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191" w:type="dxa"/>
            <w:shd w:val="clear" w:color="auto" w:fill="auto"/>
            <w:noWrap/>
          </w:tcPr>
          <w:p w14:paraId="4C5E770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5F094A7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0279B76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w:t>
            </w:r>
          </w:p>
        </w:tc>
        <w:tc>
          <w:tcPr>
            <w:tcW w:w="1077" w:type="dxa"/>
            <w:shd w:val="clear" w:color="auto" w:fill="auto"/>
            <w:noWrap/>
          </w:tcPr>
          <w:p w14:paraId="127DC8E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7E9121A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70</w:t>
            </w:r>
            <w:r w:rsidRPr="0085132E">
              <w:rPr>
                <w:rFonts w:ascii="Arial" w:hAnsi="Arial" w:cs="Arial"/>
                <w:color w:val="000000" w:themeColor="text1"/>
                <w:sz w:val="20"/>
                <w:szCs w:val="20"/>
                <w:lang w:val="en-US"/>
              </w:rPr>
              <w:t>%</w:t>
            </w:r>
            <w:r w:rsidRPr="00C9504C">
              <w:rPr>
                <w:rFonts w:ascii="Arial" w:hAnsi="Arial" w:cs="Arial"/>
                <w:sz w:val="20"/>
                <w:szCs w:val="20"/>
                <w:lang w:val="en-US"/>
              </w:rPr>
              <w:t>−110%</w:t>
            </w:r>
          </w:p>
          <w:p w14:paraId="20C41AEC" w14:textId="77777777" w:rsidR="006751F9" w:rsidRPr="00C9504C" w:rsidRDefault="006751F9" w:rsidP="00420FF2">
            <w:pPr>
              <w:spacing w:after="0" w:line="240" w:lineRule="exact"/>
              <w:jc w:val="center"/>
              <w:rPr>
                <w:rFonts w:ascii="Arial" w:hAnsi="Arial" w:cs="Arial"/>
                <w:sz w:val="20"/>
                <w:szCs w:val="20"/>
                <w:lang w:val="en-US"/>
              </w:rPr>
            </w:pPr>
          </w:p>
        </w:tc>
        <w:tc>
          <w:tcPr>
            <w:tcW w:w="907" w:type="dxa"/>
          </w:tcPr>
          <w:p w14:paraId="1E4985E9"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05A2FBA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ILCR,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PMF</w:t>
            </w:r>
          </w:p>
        </w:tc>
        <w:tc>
          <w:tcPr>
            <w:tcW w:w="907" w:type="dxa"/>
          </w:tcPr>
          <w:p w14:paraId="589C54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Pr>
                <w:rFonts w:ascii="Arial" w:hAnsi="Arial" w:cs="Arial"/>
                <w:sz w:val="20"/>
                <w:szCs w:val="20"/>
                <w:lang w:val="en-US"/>
              </w:rPr>
              <w:instrText xml:space="preserve"> ADDIN ZOTERO_ITEM CSL_CITATION {"citationID":"cUFfws6S","properties":{"formattedCitation":"(90)","plainCitation":"(90)","dontUpdate":true,"noteIndex":0},"citationItems":[{"id":1409,"uris":["http://zotero.org/users/12446040/items/27XX4U4J"],"itemData":{"id":1409,"type":"article-journal","abstract":"To better understand the potential adverse health effects of atmospheric fine particles in the Southeast Asian developing countries, PM2.5 samples were collected at two urban sites in Yangon and Mandalay, representing coastal and inland cities in Myanmar, in winter and summer during 2016 and 2017. The concentrations of 21 polycyclic aromatic hydrocarbons (PAHs) in PM2.5 were determined using a gas chromatography–mass spectrometry (GC–MS). The concentrations of PAHs in PM2.5 in Yangon and Mandalay ranged from 7.6 to 180 ng m−3, with an average of 72 ng m−3. The PAHs were significantly higher in winter than in summer, and significantly higher in Mandalay than in Yangon. The health risk analysis of PAHs, based on the toxic equivalent quantity (TEQ) calculation, and the incremental lifetime cancer risk (ILCR) assessment indicated that PM2.5 in Myanmar has significant health risks with higher health risks in Mandalay compared to Yangon. Diagnostic ratios of PAHs, correlation of PAHs with other species in PM2.5 and the positive matrix factorization (PMF) analysis showed that TEQ is strongly affected by biomass burning and vehicular emissions in Myanmar. Additionally, it was found that the aging degree of aerosols and air mass trajectories had great influences on the concentration and composition of PAHs in PM2.5 in Myanmar, thereby affecting the toxicity of PM2.5.","container-title":"Science of The Total Environment","DOI":"10.1016/j.scitotenv.2024.170034","ISSN":"0048-9697","journalAbbreviation":"Science of The Total Environment","page":"170034","source":"ScienceDirect","title":"Characterization and health risk assessment of PM2.5-bound polycyclic aromatic hydrocarbons in Yangon and Mandalay of Myanmar","volume":"914","author":[{"family":"Zhang","given":"Ning"},{"family":"Maung","given":"Myo Win"},{"family":"Wang","given":"Shunyao"},{"family":"Aruffo","given":"Eleonora"},{"family":"Feng","given":"Jialiang"}],"issued":{"date-parts":[["2024",3,1]]}}}],"schema":"https://github.com/citation-style-language/schema/raw/master/csl-citation.json"}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[90</w:t>
            </w:r>
            <w:r w:rsidRPr="00C9504C">
              <w:rPr>
                <w:rFonts w:ascii="Arial" w:hAnsi="Arial" w:cs="Arial"/>
                <w:sz w:val="20"/>
                <w:szCs w:val="20"/>
              </w:rPr>
              <w:fldChar w:fldCharType="end"/>
            </w:r>
            <w:r w:rsidRPr="00C9504C">
              <w:rPr>
                <w:rFonts w:ascii="Arial" w:hAnsi="Arial" w:cs="Arial"/>
                <w:sz w:val="20"/>
                <w:szCs w:val="20"/>
                <w:lang w:val="en-US"/>
              </w:rPr>
              <w:t>]</w:t>
            </w:r>
          </w:p>
        </w:tc>
      </w:tr>
      <w:tr w:rsidR="006751F9" w:rsidRPr="00AE1E24" w14:paraId="3B6B021A" w14:textId="77777777" w:rsidTr="00420FF2">
        <w:trPr>
          <w:trHeight w:val="300"/>
          <w:jc w:val="center"/>
        </w:trPr>
        <w:tc>
          <w:tcPr>
            <w:tcW w:w="737" w:type="dxa"/>
            <w:shd w:val="clear" w:color="auto" w:fill="auto"/>
            <w:noWrap/>
          </w:tcPr>
          <w:p w14:paraId="6E81711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76DB7EA1"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Chendu</w:t>
            </w:r>
            <w:proofErr w:type="spellEnd"/>
            <w:r w:rsidRPr="00C9504C">
              <w:rPr>
                <w:rFonts w:ascii="Arial" w:hAnsi="Arial" w:cs="Arial"/>
                <w:sz w:val="20"/>
                <w:szCs w:val="20"/>
                <w:lang w:val="en-US"/>
              </w:rPr>
              <w:t>, China</w:t>
            </w:r>
          </w:p>
        </w:tc>
        <w:tc>
          <w:tcPr>
            <w:tcW w:w="1191" w:type="dxa"/>
            <w:shd w:val="clear" w:color="auto" w:fill="auto"/>
            <w:noWrap/>
          </w:tcPr>
          <w:p w14:paraId="5D95CC7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56D1D34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Jan. 2023–Feb. 2023</w:t>
            </w:r>
          </w:p>
        </w:tc>
        <w:tc>
          <w:tcPr>
            <w:tcW w:w="1134" w:type="dxa"/>
            <w:shd w:val="clear" w:color="auto" w:fill="auto"/>
            <w:noWrap/>
          </w:tcPr>
          <w:p w14:paraId="4AA474F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2228C7F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16.7 L min</w:t>
            </w:r>
            <w:r w:rsidRPr="00C9504C">
              <w:rPr>
                <w:rFonts w:ascii="Arial" w:hAnsi="Arial" w:cs="Arial"/>
                <w:sz w:val="20"/>
                <w:szCs w:val="20"/>
                <w:vertAlign w:val="superscript"/>
                <w:lang w:val="en-US"/>
              </w:rPr>
              <w:t>−1</w:t>
            </w:r>
          </w:p>
        </w:tc>
        <w:tc>
          <w:tcPr>
            <w:tcW w:w="794" w:type="dxa"/>
            <w:shd w:val="clear" w:color="auto" w:fill="auto"/>
            <w:noWrap/>
          </w:tcPr>
          <w:p w14:paraId="118CB94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PTFE</w:t>
            </w:r>
          </w:p>
        </w:tc>
        <w:tc>
          <w:tcPr>
            <w:tcW w:w="1191" w:type="dxa"/>
            <w:shd w:val="clear" w:color="auto" w:fill="auto"/>
            <w:noWrap/>
          </w:tcPr>
          <w:p w14:paraId="5EABE0FB"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Metal</w:t>
            </w:r>
          </w:p>
        </w:tc>
        <w:tc>
          <w:tcPr>
            <w:tcW w:w="1134" w:type="dxa"/>
          </w:tcPr>
          <w:p w14:paraId="02E2EC6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XRF</w:t>
            </w:r>
          </w:p>
        </w:tc>
        <w:tc>
          <w:tcPr>
            <w:tcW w:w="1134" w:type="dxa"/>
            <w:shd w:val="clear" w:color="auto" w:fill="auto"/>
            <w:noWrap/>
          </w:tcPr>
          <w:p w14:paraId="56930DFE"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077" w:type="dxa"/>
            <w:shd w:val="clear" w:color="auto" w:fill="auto"/>
            <w:noWrap/>
          </w:tcPr>
          <w:p w14:paraId="628CB16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907" w:type="dxa"/>
          </w:tcPr>
          <w:p w14:paraId="4A7F7F82" w14:textId="77777777" w:rsidR="006751F9" w:rsidRPr="00C9504C" w:rsidRDefault="006751F9" w:rsidP="00420FF2">
            <w:pPr>
              <w:spacing w:after="0" w:line="240" w:lineRule="exact"/>
              <w:jc w:val="center"/>
              <w:rPr>
                <w:rFonts w:ascii="Arial" w:hAnsi="Arial" w:cs="Arial"/>
                <w:i/>
                <w:sz w:val="20"/>
                <w:szCs w:val="20"/>
                <w:lang w:val="en-US"/>
              </w:rPr>
            </w:pPr>
            <w:r w:rsidRPr="00C9504C">
              <w:rPr>
                <w:rFonts w:ascii="Arial" w:hAnsi="Arial" w:cs="Arial"/>
                <w:i/>
                <w:sz w:val="20"/>
                <w:szCs w:val="20"/>
                <w:lang w:val="en-US"/>
              </w:rPr>
              <w:t>nr</w:t>
            </w:r>
          </w:p>
        </w:tc>
        <w:tc>
          <w:tcPr>
            <w:tcW w:w="1247" w:type="dxa"/>
          </w:tcPr>
          <w:p w14:paraId="184B810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CMC, WRF-Chem, BTA, CWT, PMF</w:t>
            </w:r>
          </w:p>
        </w:tc>
        <w:tc>
          <w:tcPr>
            <w:tcW w:w="907" w:type="dxa"/>
          </w:tcPr>
          <w:p w14:paraId="23A2E65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{"citationID":"dp5lGctB","properties":{"formattedCitation":"(91)","plainCitation":"(91)","dontUpdate":true,"noteIndex":0},"citationItems":[{"id":1405,"uris":["http://zotero.org/users/12446040/items/QTBQLXI4"],"itemData":{"id":1405,"type":"article-journal","abstract":"Despite significant improvements in air quality in recent years, the Sichuan Basin (SCB) is still facing frequent haze pollution in winter, and the causes of severe haze formation have not yet been fully investigated. In this study, the chemical components of PM2.5 (i.e., particulate matter with an aerodynamic diameter of less than 2.5 µm) in a typical pollution period at the beginning of 2023 in Chengdu, a megacity in the SCB, were characterized by bulk-chemical and single-particle analysis, and the PM2.5 sources and formation mechanism of pollution were analyzed. The average mass concentration of PM2.5 during the study period was 95.6 ± 28.7 µg m−3. Organic matter (OM) was the most abundant component (35.3 %), followed by nitrate (22.0 %), sulfate (9.2 %) and ammonium (7.8 %). The individual aerosol particles were classified into five categories, i.e., mineral, OM, secondary inorganic aerosol (SIA), soot and fly ash/metal particles, and most of them were in the state of being internally mixed. The entire observation period could be divided into two non-pollution periods (NP-1 and NP-2) and two haze periods (Haze-1 and Haze-2). With the evolution of pollution, the bulk-chemical and single-particle analysis exhibited similar characteristics, suggesting that Haze-1 was mainly caused by pollutants related to fossil fuel combustion, especially local mobile sources, while Haze-2 was triggered by the rapidly increasing secondary pollutants, which mainly came from regional transmission. The PM2.5 sources included dust (8.5 %), biomass burning (3.5 %), coal combustion (15.4 %), industrial processes (6.5 %), vehicular emissions (25.6 %) and secondary sources (40.5 %). Analysis of Weather Research and Forecasting model with Chemistry (WRF-Chem) model results showed that the average contributions of local sources and regional transmission to pollution in Chengdu were the same (50 % vs. 50 %). In addition, the source composition and WRF-Chem simulation results in different periods confirmed our analysis of the formation mechanisms of the two haze events. This study confirms that further significant reductions in PM2.5 in Chengdu are still needed, and more effective policies for local emission reduction or joint prevention and control of regional air pollution will be necessary in the future.","container-title":"Atmospheric Chemistry and Physics","DOI":"10.5194/acp-24-2803-2024","ISSN":"1680-7316","issue":"5","language":"English","note":"publisher: Copernicus GmbH","page":"2803-2820","source":"Copernicus Online Journals","title":"Chemical composition, sources and formation mechanism of urban PM&lt;sub&gt;2.5&lt;/sub&gt; in Southwest China: a case study at the beginning of 2023","title-short":"Chemical composition, sources and formation mechanism of urban PM&lt;sub&gt;2.5&lt;/sub&gt; in Southwest China","volume":"24","author":[{"family":"Zhang","given":"Junke"},{"family":"Su","given":"Yunfei"},{"family":"Chen","given":"Chunying"},{"family":"Guo","given":"Wenkai"},{"family":"Tan","given":"Qinwen"},{"family":"Feng","given":"Miao"},{"family":"Song","given":"Danlin"},{"family":"Jiang","given":"Tao"},{"family":"Chen","given":"Qiang"},{"family":"Li","given":"Yuan"},{"family":"Li","given":"Wei"},{"family":"Wang","given":"Yizhi"},{"family":"Huang","given":"Xiaojuan"},{"family":"Han","given":"Lin"},{"family":"Wu","given":"Wanqing"},{"family":"Wang","given":"Gehui"}],"issued":{"date-parts":[["2024",3,4]]}}}],"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[91]</w:t>
            </w:r>
            <w:r w:rsidRPr="00C9504C">
              <w:rPr>
                <w:rFonts w:ascii="Arial" w:hAnsi="Arial" w:cs="Arial"/>
                <w:sz w:val="20"/>
                <w:szCs w:val="20"/>
              </w:rPr>
              <w:fldChar w:fldCharType="end"/>
            </w:r>
          </w:p>
        </w:tc>
      </w:tr>
      <w:tr w:rsidR="006751F9" w:rsidRPr="00AE1E24" w14:paraId="001AC9F6" w14:textId="77777777" w:rsidTr="00420FF2">
        <w:trPr>
          <w:trHeight w:val="300"/>
          <w:jc w:val="center"/>
        </w:trPr>
        <w:tc>
          <w:tcPr>
            <w:tcW w:w="737" w:type="dxa"/>
            <w:shd w:val="clear" w:color="auto" w:fill="auto"/>
            <w:noWrap/>
            <w:hideMark/>
          </w:tcPr>
          <w:p w14:paraId="133C744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hideMark/>
          </w:tcPr>
          <w:p w14:paraId="11451F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Tangshan, China</w:t>
            </w:r>
          </w:p>
        </w:tc>
        <w:tc>
          <w:tcPr>
            <w:tcW w:w="1191" w:type="dxa"/>
            <w:shd w:val="clear" w:color="auto" w:fill="auto"/>
            <w:noWrap/>
            <w:hideMark/>
          </w:tcPr>
          <w:p w14:paraId="23E3F58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hideMark/>
          </w:tcPr>
          <w:p w14:paraId="7B4EA47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Apr. 2014–Feb. 2015 (39)</w:t>
            </w:r>
          </w:p>
        </w:tc>
        <w:tc>
          <w:tcPr>
            <w:tcW w:w="1134" w:type="dxa"/>
            <w:shd w:val="clear" w:color="auto" w:fill="auto"/>
            <w:noWrap/>
            <w:hideMark/>
          </w:tcPr>
          <w:p w14:paraId="13075493"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hideMark/>
          </w:tcPr>
          <w:p w14:paraId="1B4456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hideMark/>
          </w:tcPr>
          <w:p w14:paraId="27C4E607"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hideMark/>
          </w:tcPr>
          <w:p w14:paraId="47B965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2E797EE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HPLC</w:t>
            </w:r>
          </w:p>
        </w:tc>
        <w:tc>
          <w:tcPr>
            <w:tcW w:w="1134" w:type="dxa"/>
            <w:shd w:val="clear" w:color="auto" w:fill="auto"/>
            <w:noWrap/>
            <w:hideMark/>
          </w:tcPr>
          <w:p w14:paraId="0605617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UAE with DCM, Hx</w:t>
            </w:r>
          </w:p>
        </w:tc>
        <w:tc>
          <w:tcPr>
            <w:tcW w:w="1077" w:type="dxa"/>
            <w:shd w:val="clear" w:color="auto" w:fill="auto"/>
            <w:noWrap/>
            <w:hideMark/>
          </w:tcPr>
          <w:p w14:paraId="1779095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Rec.: </w:t>
            </w:r>
          </w:p>
          <w:p w14:paraId="19692DA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58</w:t>
            </w:r>
            <w:r w:rsidRPr="0085132E">
              <w:rPr>
                <w:rFonts w:ascii="Arial" w:hAnsi="Arial" w:cs="Arial"/>
                <w:color w:val="000000" w:themeColor="text1"/>
                <w:sz w:val="20"/>
                <w:szCs w:val="20"/>
                <w:lang w:val="en-US"/>
              </w:rPr>
              <w:t>%</w:t>
            </w:r>
            <w:r w:rsidRPr="00C9504C">
              <w:rPr>
                <w:rFonts w:ascii="Arial" w:hAnsi="Arial" w:cs="Arial"/>
                <w:sz w:val="20"/>
                <w:szCs w:val="20"/>
                <w:lang w:val="en-US"/>
              </w:rPr>
              <w:t>−105%</w:t>
            </w:r>
          </w:p>
        </w:tc>
        <w:tc>
          <w:tcPr>
            <w:tcW w:w="907" w:type="dxa"/>
          </w:tcPr>
          <w:p w14:paraId="7308EC41"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385C673C" w14:textId="77777777" w:rsidR="006751F9" w:rsidRPr="00C9504C" w:rsidRDefault="006751F9" w:rsidP="00420FF2">
            <w:pPr>
              <w:spacing w:after="0" w:line="240" w:lineRule="exact"/>
              <w:jc w:val="center"/>
              <w:rPr>
                <w:rFonts w:ascii="Arial" w:hAnsi="Arial" w:cs="Arial"/>
                <w:sz w:val="20"/>
                <w:szCs w:val="20"/>
                <w:lang w:val="en-US"/>
              </w:rPr>
            </w:pP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 PCA</w:t>
            </w:r>
          </w:p>
        </w:tc>
        <w:tc>
          <w:tcPr>
            <w:tcW w:w="907" w:type="dxa"/>
          </w:tcPr>
          <w:p w14:paraId="4BF138BF"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{"citationID":"PmQPEovy","properties":{"formattedCitation":"(92)","plainCitation":"(92)","dontUpdate":true,"noteIndex":0},"citationItems":[{"id":524,"uris":["http://zotero.org/users/12446040/items/9JNKMPIC"],"itemData":{"id":524,"type":"article-journal","abstract":"Tangshan city in Hebei Province is one of the most heavily polluted cities in China, with substantial industrial emissions. The development of effective air pollution emission reduction policies requires knowledge of the sources and health risks of polycyclic aromatic hydrocarbon (PAH)-enriched fine particulate matter (PM2.5 ). We investigated the seasonal variation and source apportionment of 16 priority PAH-enriched PM2.5 samples in Tangshan during 2014 and 2015, and we assessed the health risks associated with inhalation exposure to PAHs. The PM2.5 samples were collected from April 2014 to February 2015. We analyzed the concentrations of PM2.5 and PAH-enriched PM2.5 , and used principal component analysis and molecular diagnostic ratios to identify potential sources. We explored the relationship between distribution and meteorological conditions, and used an incremental lifetime cancer risk (ILCR) model to quantitatively evaluate exposure from the inhalation risk of PAHs. The average mass concentration of PM2.5 was 196 µg/m3 , with a range 34.0 to 586 µg/m3 . The median ∑16 PAH values in PM2.5 were 190 ng/m3 , with a range of 60.2 to 862 ng/m3 over the sampling period. The order of ∑16 PAHs concentration was winter &gt; autumn &gt; summer &gt; spring. The results show that the primary sources of PAH-enriched PM2.5 are coal combustion, vehicle exhaust, and biomass burning. The annual mean of benzo[a]pyrene (BaP) was 8.37 ng/m3 , more than 8-fold greater than the BaP annual standard (1 ng/m3 ) set by the Chinese State Environmental Protection Agency. The ILCR values for 3 groups (children, teenagers, and adults) over the 4 seasons were between 10-6 and 10-4 , indicating a potential health risk from PAHs in Tangshan. Environ Toxicol Chem 2020;39:458-467. © 2019 SETAC.","container-title":"Environmental Toxicology and Chemistry","DOI":"10.1002/etc.4618","ISSN":"1552-8618","issue":"2","journalAbbreviation":"Environ Toxicol Chem","language":"eng","note":"PMID: 31622510","page":"458-467","source":"PubMed","title":"Source Identification and Health Risk Assessment of Polycyclic Aromatic Hydrocarbon-Enriched PM2.5 in Tangshan, China","volume":"39","author":[{"family":"Zhang","given":"Lei"},{"family":"Xu","given":"Houjun"},{"family":"Fang","given":"Bo"},{"family":"Wang","given":"Hongwei"},{"family":"Yang","given":"Ze"},{"family":"Yang","given":"Wenqi"},{"family":"Hao","given":"Yulan"},{"family":"Wang","given":"Xuesheng"},{"family":"Wang","given":"Qian"},{"family":"Wang","given":"Manman"}],"issued":{"date-parts":[["2020",2]]}}}],"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[92</w:t>
            </w:r>
            <w:r w:rsidRPr="00C9504C">
              <w:rPr>
                <w:rFonts w:ascii="Arial" w:hAnsi="Arial" w:cs="Arial"/>
                <w:sz w:val="20"/>
                <w:szCs w:val="20"/>
              </w:rPr>
              <w:fldChar w:fldCharType="end"/>
            </w:r>
            <w:r w:rsidRPr="00C9504C">
              <w:rPr>
                <w:rFonts w:ascii="Arial" w:hAnsi="Arial" w:cs="Arial"/>
                <w:sz w:val="20"/>
                <w:szCs w:val="20"/>
              </w:rPr>
              <w:t>]</w:t>
            </w:r>
          </w:p>
        </w:tc>
      </w:tr>
      <w:tr w:rsidR="006751F9" w:rsidRPr="00AE1E24" w14:paraId="2FFF9630" w14:textId="77777777" w:rsidTr="00420FF2">
        <w:trPr>
          <w:trHeight w:val="300"/>
          <w:jc w:val="center"/>
        </w:trPr>
        <w:tc>
          <w:tcPr>
            <w:tcW w:w="737" w:type="dxa"/>
            <w:shd w:val="clear" w:color="auto" w:fill="auto"/>
            <w:noWrap/>
          </w:tcPr>
          <w:p w14:paraId="1EC29C4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PM</w:t>
            </w:r>
            <w:r w:rsidRPr="00C9504C">
              <w:rPr>
                <w:rFonts w:ascii="Arial" w:hAnsi="Arial" w:cs="Arial"/>
                <w:sz w:val="20"/>
                <w:szCs w:val="20"/>
                <w:vertAlign w:val="subscript"/>
                <w:lang w:val="en-US"/>
              </w:rPr>
              <w:t>2.5</w:t>
            </w:r>
          </w:p>
        </w:tc>
        <w:tc>
          <w:tcPr>
            <w:tcW w:w="1417" w:type="dxa"/>
            <w:shd w:val="clear" w:color="auto" w:fill="auto"/>
            <w:noWrap/>
          </w:tcPr>
          <w:p w14:paraId="2AF2860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Jinan, China</w:t>
            </w:r>
          </w:p>
        </w:tc>
        <w:tc>
          <w:tcPr>
            <w:tcW w:w="1191" w:type="dxa"/>
            <w:shd w:val="clear" w:color="auto" w:fill="auto"/>
            <w:noWrap/>
          </w:tcPr>
          <w:p w14:paraId="350C4C74"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EL</w:t>
            </w:r>
          </w:p>
        </w:tc>
        <w:tc>
          <w:tcPr>
            <w:tcW w:w="1134" w:type="dxa"/>
            <w:shd w:val="clear" w:color="auto" w:fill="auto"/>
            <w:noWrap/>
          </w:tcPr>
          <w:p w14:paraId="33DDC16D"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Jun. 2015–Jul.2015 (20)</w:t>
            </w:r>
          </w:p>
        </w:tc>
        <w:tc>
          <w:tcPr>
            <w:tcW w:w="1134" w:type="dxa"/>
            <w:shd w:val="clear" w:color="auto" w:fill="auto"/>
            <w:noWrap/>
          </w:tcPr>
          <w:p w14:paraId="5D5250C8"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HVS</w:t>
            </w:r>
          </w:p>
        </w:tc>
        <w:tc>
          <w:tcPr>
            <w:tcW w:w="737" w:type="dxa"/>
            <w:shd w:val="clear" w:color="auto" w:fill="auto"/>
            <w:noWrap/>
          </w:tcPr>
          <w:p w14:paraId="39F1EED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100 L min</w:t>
            </w:r>
            <w:r w:rsidRPr="00C9504C">
              <w:rPr>
                <w:rFonts w:ascii="Arial" w:hAnsi="Arial" w:cs="Arial"/>
                <w:sz w:val="20"/>
                <w:szCs w:val="20"/>
                <w:vertAlign w:val="superscript"/>
                <w:lang w:val="en-US"/>
              </w:rPr>
              <w:t>−1</w:t>
            </w:r>
          </w:p>
        </w:tc>
        <w:tc>
          <w:tcPr>
            <w:tcW w:w="794" w:type="dxa"/>
            <w:shd w:val="clear" w:color="auto" w:fill="auto"/>
            <w:noWrap/>
          </w:tcPr>
          <w:p w14:paraId="11653E79"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QFF</w:t>
            </w:r>
          </w:p>
        </w:tc>
        <w:tc>
          <w:tcPr>
            <w:tcW w:w="1191" w:type="dxa"/>
            <w:shd w:val="clear" w:color="auto" w:fill="auto"/>
            <w:noWrap/>
          </w:tcPr>
          <w:p w14:paraId="741A658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PAH</w:t>
            </w:r>
          </w:p>
        </w:tc>
        <w:tc>
          <w:tcPr>
            <w:tcW w:w="1134" w:type="dxa"/>
          </w:tcPr>
          <w:p w14:paraId="33B6918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GC-MS</w:t>
            </w:r>
          </w:p>
        </w:tc>
        <w:tc>
          <w:tcPr>
            <w:tcW w:w="1134" w:type="dxa"/>
            <w:shd w:val="clear" w:color="auto" w:fill="auto"/>
            <w:noWrap/>
          </w:tcPr>
          <w:p w14:paraId="7DFA2156"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SOE with DCM</w:t>
            </w:r>
          </w:p>
        </w:tc>
        <w:tc>
          <w:tcPr>
            <w:tcW w:w="1077" w:type="dxa"/>
            <w:shd w:val="clear" w:color="auto" w:fill="auto"/>
            <w:noWrap/>
          </w:tcPr>
          <w:p w14:paraId="7FDDE802"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Rec.:</w:t>
            </w:r>
          </w:p>
          <w:p w14:paraId="7F1A9A05"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97±15%</w:t>
            </w:r>
          </w:p>
        </w:tc>
        <w:tc>
          <w:tcPr>
            <w:tcW w:w="907" w:type="dxa"/>
          </w:tcPr>
          <w:p w14:paraId="3A93B76A"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i/>
                <w:sz w:val="20"/>
                <w:szCs w:val="20"/>
                <w:lang w:val="en-US"/>
              </w:rPr>
              <w:t>nr</w:t>
            </w:r>
          </w:p>
        </w:tc>
        <w:tc>
          <w:tcPr>
            <w:tcW w:w="1247" w:type="dxa"/>
          </w:tcPr>
          <w:p w14:paraId="4FF03240"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t xml:space="preserve">DR, </w:t>
            </w:r>
            <w:proofErr w:type="spellStart"/>
            <w:r w:rsidRPr="00C9504C">
              <w:rPr>
                <w:rFonts w:ascii="Arial" w:hAnsi="Arial" w:cs="Arial"/>
                <w:sz w:val="20"/>
                <w:szCs w:val="20"/>
                <w:lang w:val="en-US"/>
              </w:rPr>
              <w:t>BaP</w:t>
            </w:r>
            <w:r w:rsidRPr="00C9504C">
              <w:rPr>
                <w:rFonts w:ascii="Arial" w:hAnsi="Arial" w:cs="Arial"/>
                <w:sz w:val="20"/>
                <w:szCs w:val="20"/>
                <w:vertAlign w:val="subscript"/>
                <w:lang w:val="en-US"/>
              </w:rPr>
              <w:t>eq</w:t>
            </w:r>
            <w:proofErr w:type="spellEnd"/>
            <w:r w:rsidRPr="00C9504C">
              <w:rPr>
                <w:rFonts w:ascii="Arial" w:hAnsi="Arial" w:cs="Arial"/>
                <w:sz w:val="20"/>
                <w:szCs w:val="20"/>
                <w:lang w:val="en-US"/>
              </w:rPr>
              <w:t>, ILCR</w:t>
            </w:r>
          </w:p>
        </w:tc>
        <w:tc>
          <w:tcPr>
            <w:tcW w:w="907" w:type="dxa"/>
          </w:tcPr>
          <w:p w14:paraId="4CC4ABCC" w14:textId="77777777" w:rsidR="006751F9" w:rsidRPr="00C9504C" w:rsidRDefault="006751F9" w:rsidP="00420FF2">
            <w:pPr>
              <w:spacing w:after="0" w:line="240" w:lineRule="exact"/>
              <w:jc w:val="center"/>
              <w:rPr>
                <w:rFonts w:ascii="Arial" w:hAnsi="Arial" w:cs="Arial"/>
                <w:sz w:val="20"/>
                <w:szCs w:val="20"/>
                <w:lang w:val="en-US"/>
              </w:rPr>
            </w:pPr>
            <w:r w:rsidRPr="00C9504C">
              <w:rPr>
                <w:rFonts w:ascii="Arial" w:hAnsi="Arial" w:cs="Arial"/>
                <w:sz w:val="20"/>
                <w:szCs w:val="20"/>
                <w:lang w:val="en-US"/>
              </w:rPr>
              <w:fldChar w:fldCharType="begin"/>
            </w:r>
            <w:r w:rsidRPr="00C9504C">
              <w:rPr>
                <w:rFonts w:ascii="Arial" w:hAnsi="Arial" w:cs="Arial"/>
                <w:sz w:val="20"/>
                <w:szCs w:val="20"/>
                <w:lang w:val="en-US"/>
              </w:rPr>
              <w:instrText xml:space="preserve"> ADDIN ZOTERO_ITEM CSL_CITATION {"citationID":"aAj1wvu4","properties":{"formattedCitation":"(93)","plainCitation":"(93)","dontUpdate":true,"noteIndex":0},"citationItems":[{"id":1166,"uris":["http://zotero.org/users/12446040/items/E68FCJ2A"],"itemData":{"id":1166,"type":"article-journal","abstract":"Ambient measurements of PM2.5-bounded polycyclic aromatic hydrocarbons (PAHs), nitro-PAHs (NPAHs), and oxy-PAHs (OPAHs) were conducted during the summer in Jinan, China, an urban site, and at Tuoji island and Mt. Tai, two background locations. 3.5 h and 11.5 h sampling intervals in daytime and nighttime were utilized to research the diurnal variations of PAHs, NPAHs, and OPAHs. The concentrations of PAHs, NPAHs, and OPAHs were highest at the urban site and lowest at the marine site. The diurnal patterns of PAHs and NPAHs at the urban and marine sites were dissimilar to those observed at the mountain site partly due to the influence of the boundary layer. Vehicle emissions at the urban site made a large contribution to high molecular weight PAHs. 1N-PYR and 7N-BaA during morning and night sampling periods in JN were relatively high. Fossil fuel combustion and biomass burning were the main sources for all three sites during the sampling periods. The air masses at the marine and mountain sites were strongly impacted by photo-degradation, and the air masses at the marine site were the most aged. Secondary formation of NPAHs was mainly initiated by OH radicals at all the three sites and was strongest at the marine site. Secondary formation was most efficient during the daytime at the urban and mountain sites and during morning periods at the marine site. The average excess cancer risk from inhalation (ECR) for 70 years' life span at the urban site was much higher than those calculated for the background sites.","container-title":"Chemosphere","DOI":"10.1016/j.chemosphere.2018.06.054","ISSN":"0045-6535","journalAbbreviation":"Chemosphere","page":"147-155","source":"ScienceDirect","title":"Diurnal concentrations, sources, and cancer risk assessments of PM2.5-bound PAHs, NPAHs, and OPAHs in urban, marine and mountain environments","volume":"209","author":[{"family":"Zhang","given":"Junmei"},{"family":"Yang","given":"Lingxiao"},{"family":"Mellouki","given":"Abdelwahid"},{"family":"Chen","given":"Jianmin"},{"family":"Chen","given":"Xiangfeng"},{"family":"Gao","given":"Ying"},{"family":"Jiang","given":"Pan"},{"family":"Li","given":"Yanyan"},{"family":"Yu","given":"Hao"},{"family":"Wang","given":"Wenxing"}],"issued":{"date-parts":[["2018",10,1]]}}}],"schema":"https://github.com/citation-style-language/schema/raw/master/csl-citation.json"} </w:instrText>
            </w:r>
            <w:r w:rsidRPr="00C9504C">
              <w:rPr>
                <w:rFonts w:ascii="Arial" w:hAnsi="Arial" w:cs="Arial"/>
                <w:sz w:val="20"/>
                <w:szCs w:val="20"/>
                <w:lang w:val="en-US"/>
              </w:rPr>
              <w:fldChar w:fldCharType="separate"/>
            </w:r>
            <w:r w:rsidRPr="00C9504C">
              <w:rPr>
                <w:rFonts w:ascii="Arial" w:hAnsi="Arial" w:cs="Arial"/>
                <w:sz w:val="20"/>
                <w:szCs w:val="20"/>
              </w:rPr>
              <w:t>[93]</w:t>
            </w:r>
            <w:r w:rsidRPr="00C9504C">
              <w:rPr>
                <w:rFonts w:ascii="Arial" w:hAnsi="Arial" w:cs="Arial"/>
                <w:sz w:val="20"/>
                <w:szCs w:val="20"/>
              </w:rPr>
              <w:fldChar w:fldCharType="end"/>
            </w:r>
          </w:p>
        </w:tc>
      </w:tr>
    </w:tbl>
    <w:p w14:paraId="50C54185" w14:textId="77777777" w:rsidR="00420FF2" w:rsidRPr="00AE1E24" w:rsidRDefault="00420FF2" w:rsidP="0088496D">
      <w:pPr>
        <w:spacing w:after="0" w:line="240" w:lineRule="auto"/>
        <w:jc w:val="both"/>
        <w:rPr>
          <w:rFonts w:ascii="Arial" w:hAnsi="Arial" w:cs="Arial"/>
          <w:sz w:val="20"/>
          <w:szCs w:val="20"/>
          <w:lang w:val="en-US"/>
        </w:rPr>
      </w:pPr>
      <w:r>
        <w:rPr>
          <w:rFonts w:ascii="Arial" w:hAnsi="Arial" w:cs="Arial"/>
          <w:sz w:val="20"/>
          <w:szCs w:val="20"/>
          <w:lang w:val="en-US"/>
        </w:rPr>
        <w:t>Abbreviations</w:t>
      </w:r>
      <w:r w:rsidRPr="00AE1E24">
        <w:rPr>
          <w:rFonts w:ascii="Arial" w:hAnsi="Arial" w:cs="Arial"/>
          <w:sz w:val="20"/>
          <w:szCs w:val="20"/>
          <w:lang w:val="en-US"/>
        </w:rPr>
        <w:t xml:space="preserve">: </w:t>
      </w:r>
    </w:p>
    <w:p w14:paraId="520F1A71" w14:textId="3A6F7078" w:rsidR="006751F9" w:rsidRDefault="00420FF2" w:rsidP="0088496D">
      <w:pPr>
        <w:spacing w:after="0" w:line="240" w:lineRule="auto"/>
        <w:jc w:val="both"/>
        <w:rPr>
          <w:rFonts w:ascii="Arial" w:hAnsi="Arial" w:cs="Arial"/>
          <w:b/>
        </w:rPr>
      </w:pPr>
      <w:r w:rsidRPr="00AE1E24">
        <w:rPr>
          <w:rFonts w:ascii="Arial" w:hAnsi="Arial" w:cs="Arial"/>
          <w:sz w:val="20"/>
          <w:szCs w:val="20"/>
          <w:lang w:val="en-US"/>
        </w:rPr>
        <w:t xml:space="preserve">nr (not reported), </w:t>
      </w:r>
      <w:r w:rsidRPr="000D0BA2">
        <w:rPr>
          <w:rFonts w:ascii="Arial" w:hAnsi="Arial" w:cs="Arial"/>
          <w:sz w:val="20"/>
          <w:szCs w:val="20"/>
          <w:lang w:val="en-US"/>
        </w:rPr>
        <w:t>EL (</w:t>
      </w:r>
      <w:r>
        <w:rPr>
          <w:rFonts w:ascii="Arial" w:hAnsi="Arial" w:cs="Arial"/>
          <w:sz w:val="20"/>
          <w:szCs w:val="20"/>
          <w:lang w:val="en-US"/>
        </w:rPr>
        <w:t>sampler at an el</w:t>
      </w:r>
      <w:r w:rsidRPr="000D0BA2">
        <w:rPr>
          <w:rFonts w:ascii="Arial" w:hAnsi="Arial" w:cs="Arial"/>
          <w:sz w:val="20"/>
          <w:szCs w:val="20"/>
          <w:lang w:val="en-US"/>
        </w:rPr>
        <w:t>evated level</w:t>
      </w:r>
      <w:r w:rsidRPr="00AF7B75">
        <w:rPr>
          <w:rFonts w:ascii="Arial" w:hAnsi="Arial" w:cs="Arial"/>
          <w:sz w:val="20"/>
          <w:szCs w:val="20"/>
          <w:lang w:val="en-US"/>
        </w:rPr>
        <w:t>)</w:t>
      </w:r>
      <w:r w:rsidRPr="00E1274E">
        <w:rPr>
          <w:rFonts w:ascii="Arial" w:hAnsi="Arial" w:cs="Arial"/>
          <w:sz w:val="20"/>
          <w:szCs w:val="20"/>
          <w:lang w:val="en-US"/>
        </w:rPr>
        <w:t>,</w:t>
      </w:r>
      <w:r w:rsidRPr="004F7502">
        <w:rPr>
          <w:rFonts w:ascii="Arial" w:hAnsi="Arial" w:cs="Arial"/>
          <w:sz w:val="20"/>
          <w:szCs w:val="20"/>
          <w:lang w:val="en-US"/>
        </w:rPr>
        <w:t xml:space="preserve"> GL </w:t>
      </w:r>
      <w:r w:rsidRPr="00C9504C">
        <w:rPr>
          <w:rFonts w:ascii="Arial" w:hAnsi="Arial" w:cs="Arial"/>
          <w:sz w:val="20"/>
          <w:szCs w:val="20"/>
          <w:lang w:val="en-US"/>
        </w:rPr>
        <w:t>(</w:t>
      </w:r>
      <w:r>
        <w:rPr>
          <w:rFonts w:ascii="Arial" w:hAnsi="Arial" w:cs="Arial"/>
          <w:sz w:val="20"/>
          <w:szCs w:val="20"/>
          <w:lang w:val="en-US"/>
        </w:rPr>
        <w:t>sampler at a g</w:t>
      </w:r>
      <w:r w:rsidRPr="000D0BA2">
        <w:rPr>
          <w:rFonts w:ascii="Arial" w:hAnsi="Arial" w:cs="Arial"/>
          <w:sz w:val="20"/>
          <w:szCs w:val="20"/>
          <w:lang w:val="en-US"/>
        </w:rPr>
        <w:t>round level</w:t>
      </w:r>
      <w:r w:rsidRPr="00001A49">
        <w:rPr>
          <w:rFonts w:ascii="Arial" w:hAnsi="Arial" w:cs="Arial"/>
          <w:sz w:val="20"/>
          <w:szCs w:val="20"/>
          <w:lang w:val="en-US"/>
        </w:rPr>
        <w:t>)</w:t>
      </w:r>
      <w:r w:rsidRPr="00495FA9">
        <w:rPr>
          <w:rFonts w:ascii="Arial" w:hAnsi="Arial" w:cs="Arial"/>
          <w:sz w:val="20"/>
          <w:szCs w:val="20"/>
          <w:lang w:val="en-US"/>
        </w:rPr>
        <w:t xml:space="preserve">, </w:t>
      </w:r>
      <w:r w:rsidRPr="004F7502">
        <w:rPr>
          <w:rFonts w:ascii="Arial" w:hAnsi="Arial" w:cs="Arial"/>
          <w:sz w:val="20"/>
          <w:szCs w:val="20"/>
          <w:lang w:val="en-US"/>
        </w:rPr>
        <w:t>LVS</w:t>
      </w:r>
      <w:r w:rsidRPr="005A2BB5">
        <w:rPr>
          <w:rFonts w:ascii="Arial" w:hAnsi="Arial" w:cs="Arial"/>
          <w:sz w:val="20"/>
          <w:szCs w:val="20"/>
          <w:lang w:val="en-US"/>
        </w:rPr>
        <w:t xml:space="preserve"> (</w:t>
      </w:r>
      <w:r>
        <w:rPr>
          <w:rFonts w:ascii="Arial" w:hAnsi="Arial" w:cs="Arial"/>
          <w:sz w:val="20"/>
          <w:szCs w:val="20"/>
          <w:lang w:val="en-US"/>
        </w:rPr>
        <w:t>l</w:t>
      </w:r>
      <w:r w:rsidRPr="00C9504C">
        <w:rPr>
          <w:rFonts w:ascii="Arial" w:hAnsi="Arial" w:cs="Arial"/>
          <w:sz w:val="20"/>
          <w:szCs w:val="20"/>
          <w:lang w:val="en-US"/>
        </w:rPr>
        <w:t>ow-volume sampler)</w:t>
      </w:r>
      <w:r>
        <w:rPr>
          <w:rFonts w:ascii="Arial" w:hAnsi="Arial" w:cs="Arial"/>
          <w:sz w:val="20"/>
          <w:szCs w:val="20"/>
          <w:lang w:val="en-US"/>
        </w:rPr>
        <w:t>, MVS (m</w:t>
      </w:r>
      <w:r w:rsidRPr="00AE1E24">
        <w:rPr>
          <w:rFonts w:ascii="Arial" w:hAnsi="Arial" w:cs="Arial"/>
          <w:sz w:val="20"/>
          <w:szCs w:val="20"/>
          <w:lang w:val="en-US"/>
        </w:rPr>
        <w:t>edium-volume sampler), HVS (</w:t>
      </w:r>
      <w:r>
        <w:rPr>
          <w:rFonts w:ascii="Arial" w:hAnsi="Arial" w:cs="Arial"/>
          <w:sz w:val="20"/>
          <w:szCs w:val="20"/>
          <w:lang w:val="en-US"/>
        </w:rPr>
        <w:t>h</w:t>
      </w:r>
      <w:r w:rsidRPr="00C9504C">
        <w:rPr>
          <w:rFonts w:ascii="Arial" w:hAnsi="Arial" w:cs="Arial"/>
          <w:sz w:val="20"/>
          <w:szCs w:val="20"/>
          <w:lang w:val="en-US"/>
        </w:rPr>
        <w:t xml:space="preserve">igh-volume sampler). </w:t>
      </w:r>
      <w:r>
        <w:rPr>
          <w:rFonts w:ascii="Arial" w:hAnsi="Arial" w:cs="Arial"/>
          <w:sz w:val="20"/>
          <w:szCs w:val="20"/>
          <w:lang w:val="en-US"/>
        </w:rPr>
        <w:t>CF (c</w:t>
      </w:r>
      <w:r w:rsidRPr="00C9504C">
        <w:rPr>
          <w:rFonts w:ascii="Arial" w:hAnsi="Arial" w:cs="Arial"/>
          <w:sz w:val="20"/>
          <w:szCs w:val="20"/>
          <w:lang w:val="en-US"/>
        </w:rPr>
        <w:t xml:space="preserve">ellulose </w:t>
      </w:r>
      <w:r>
        <w:rPr>
          <w:rFonts w:ascii="Arial" w:hAnsi="Arial" w:cs="Arial"/>
          <w:sz w:val="20"/>
          <w:szCs w:val="20"/>
          <w:lang w:val="en-US"/>
        </w:rPr>
        <w:t>filter), GFF (g</w:t>
      </w:r>
      <w:r>
        <w:rPr>
          <w:rFonts w:ascii="Arial" w:hAnsi="Arial" w:cs="Arial"/>
          <w:sz w:val="20"/>
          <w:szCs w:val="20"/>
        </w:rPr>
        <w:t>lass fibre filter), MCE (m</w:t>
      </w:r>
      <w:r w:rsidRPr="00C9504C">
        <w:rPr>
          <w:rFonts w:ascii="Arial" w:hAnsi="Arial" w:cs="Arial"/>
          <w:sz w:val="20"/>
          <w:szCs w:val="20"/>
        </w:rPr>
        <w:t>ixed cellulose filter), PF (</w:t>
      </w:r>
      <w:r>
        <w:rPr>
          <w:rFonts w:ascii="Arial" w:hAnsi="Arial" w:cs="Arial"/>
          <w:sz w:val="20"/>
          <w:szCs w:val="20"/>
        </w:rPr>
        <w:t>p</w:t>
      </w:r>
      <w:r w:rsidRPr="00C9504C">
        <w:rPr>
          <w:rFonts w:ascii="Arial" w:hAnsi="Arial" w:cs="Arial"/>
          <w:sz w:val="20"/>
          <w:szCs w:val="20"/>
        </w:rPr>
        <w:t>olycarbonate filter), PTFE (</w:t>
      </w:r>
      <w:r>
        <w:rPr>
          <w:rFonts w:ascii="Arial" w:hAnsi="Arial" w:cs="Arial"/>
          <w:sz w:val="20"/>
          <w:szCs w:val="20"/>
        </w:rPr>
        <w:t>p</w:t>
      </w:r>
      <w:r w:rsidRPr="00C9504C">
        <w:rPr>
          <w:rFonts w:ascii="Arial" w:hAnsi="Arial" w:cs="Arial"/>
          <w:sz w:val="20"/>
          <w:szCs w:val="20"/>
        </w:rPr>
        <w:t>olytetrafluoroethylene filter), QFF (</w:t>
      </w:r>
      <w:r>
        <w:rPr>
          <w:rFonts w:ascii="Arial" w:hAnsi="Arial" w:cs="Arial"/>
          <w:sz w:val="20"/>
          <w:szCs w:val="20"/>
        </w:rPr>
        <w:t>quartz fib</w:t>
      </w:r>
      <w:r w:rsidRPr="00C9504C">
        <w:rPr>
          <w:rFonts w:ascii="Arial" w:hAnsi="Arial" w:cs="Arial"/>
          <w:sz w:val="20"/>
          <w:szCs w:val="20"/>
        </w:rPr>
        <w:t>r</w:t>
      </w:r>
      <w:r>
        <w:rPr>
          <w:rFonts w:ascii="Arial" w:hAnsi="Arial" w:cs="Arial"/>
          <w:sz w:val="20"/>
          <w:szCs w:val="20"/>
        </w:rPr>
        <w:t>e</w:t>
      </w:r>
      <w:r w:rsidRPr="00C9504C">
        <w:rPr>
          <w:rFonts w:ascii="Arial" w:hAnsi="Arial" w:cs="Arial"/>
          <w:sz w:val="20"/>
          <w:szCs w:val="20"/>
        </w:rPr>
        <w:t xml:space="preserve"> filter), FGF (</w:t>
      </w:r>
      <w:r>
        <w:rPr>
          <w:rFonts w:ascii="Arial" w:hAnsi="Arial" w:cs="Arial"/>
          <w:sz w:val="20"/>
          <w:szCs w:val="20"/>
        </w:rPr>
        <w:t>fiberglass fabric filter), NFC (n</w:t>
      </w:r>
      <w:r w:rsidRPr="00C9504C">
        <w:rPr>
          <w:rFonts w:ascii="Arial" w:hAnsi="Arial" w:cs="Arial"/>
          <w:sz w:val="20"/>
          <w:szCs w:val="20"/>
        </w:rPr>
        <w:t xml:space="preserve">itrocellulose membrane filter), </w:t>
      </w:r>
      <w:r w:rsidRPr="00AE1E24">
        <w:rPr>
          <w:rFonts w:ascii="Arial" w:hAnsi="Arial" w:cs="Arial"/>
          <w:sz w:val="20"/>
          <w:szCs w:val="20"/>
          <w:lang w:val="en-US"/>
        </w:rPr>
        <w:t>ICP-MS (</w:t>
      </w:r>
      <w:r>
        <w:rPr>
          <w:rFonts w:ascii="Arial" w:hAnsi="Arial" w:cs="Arial"/>
          <w:sz w:val="20"/>
          <w:szCs w:val="20"/>
        </w:rPr>
        <w:t>i</w:t>
      </w:r>
      <w:r w:rsidRPr="00C9504C">
        <w:rPr>
          <w:rFonts w:ascii="Arial" w:hAnsi="Arial" w:cs="Arial"/>
          <w:sz w:val="20"/>
          <w:szCs w:val="20"/>
        </w:rPr>
        <w:t>nductively coupled p</w:t>
      </w:r>
      <w:r>
        <w:rPr>
          <w:rFonts w:ascii="Arial" w:hAnsi="Arial" w:cs="Arial"/>
          <w:sz w:val="20"/>
          <w:szCs w:val="20"/>
        </w:rPr>
        <w:t>lasma mass spectrometry), AAS (a</w:t>
      </w:r>
      <w:r w:rsidRPr="00C9504C">
        <w:rPr>
          <w:rFonts w:ascii="Arial" w:hAnsi="Arial" w:cs="Arial"/>
          <w:sz w:val="20"/>
          <w:szCs w:val="20"/>
        </w:rPr>
        <w:t>tomic absorp</w:t>
      </w:r>
      <w:r>
        <w:rPr>
          <w:rFonts w:ascii="Arial" w:hAnsi="Arial" w:cs="Arial"/>
          <w:sz w:val="20"/>
          <w:szCs w:val="20"/>
        </w:rPr>
        <w:t>tion spectroscopy), SF-ICP-MS (i</w:t>
      </w:r>
      <w:r w:rsidRPr="00C9504C">
        <w:rPr>
          <w:rFonts w:ascii="Arial" w:hAnsi="Arial" w:cs="Arial"/>
          <w:sz w:val="20"/>
          <w:szCs w:val="20"/>
        </w:rPr>
        <w:t xml:space="preserve">nductively coupled plasma mass spectrometry with magnetic sector), ICP-OES </w:t>
      </w:r>
      <w:r>
        <w:rPr>
          <w:rFonts w:ascii="Arial" w:hAnsi="Arial" w:cs="Arial"/>
          <w:sz w:val="20"/>
          <w:szCs w:val="20"/>
        </w:rPr>
        <w:t>(i</w:t>
      </w:r>
      <w:r w:rsidRPr="00C9504C">
        <w:rPr>
          <w:rFonts w:ascii="Arial" w:hAnsi="Arial" w:cs="Arial"/>
          <w:sz w:val="20"/>
          <w:szCs w:val="20"/>
        </w:rPr>
        <w:t>nductively coupled plasma optical emission spectrometry), TXRF (</w:t>
      </w:r>
      <w:r>
        <w:rPr>
          <w:rFonts w:ascii="Arial" w:hAnsi="Arial" w:cs="Arial"/>
          <w:sz w:val="20"/>
          <w:szCs w:val="20"/>
        </w:rPr>
        <w:t>t</w:t>
      </w:r>
      <w:r w:rsidRPr="00C9504C">
        <w:rPr>
          <w:rFonts w:ascii="Arial" w:hAnsi="Arial" w:cs="Arial"/>
          <w:sz w:val="20"/>
          <w:szCs w:val="20"/>
        </w:rPr>
        <w:t xml:space="preserve">otal reflection X-ray fluorescence spectroscopy), XPS (X-ray photoelectron spectroscopy), </w:t>
      </w:r>
      <w:r>
        <w:rPr>
          <w:rFonts w:ascii="Arial" w:hAnsi="Arial" w:cs="Arial"/>
          <w:sz w:val="20"/>
          <w:szCs w:val="20"/>
        </w:rPr>
        <w:t>ED-XRF (e</w:t>
      </w:r>
      <w:r w:rsidRPr="00C9504C">
        <w:rPr>
          <w:rFonts w:ascii="Arial" w:hAnsi="Arial" w:cs="Arial"/>
          <w:sz w:val="20"/>
          <w:szCs w:val="20"/>
        </w:rPr>
        <w:t xml:space="preserve">nergy dispersive X-ray </w:t>
      </w:r>
      <w:r w:rsidRPr="00C9504C">
        <w:rPr>
          <w:rFonts w:ascii="Arial" w:hAnsi="Arial" w:cs="Arial"/>
          <w:sz w:val="20"/>
          <w:szCs w:val="20"/>
        </w:rPr>
        <w:lastRenderedPageBreak/>
        <w:t>fluorescence), XRF (X-ray fluorescence), ETAAS (</w:t>
      </w:r>
      <w:r>
        <w:rPr>
          <w:rFonts w:ascii="Arial" w:hAnsi="Arial" w:cs="Arial"/>
          <w:sz w:val="20"/>
          <w:szCs w:val="20"/>
        </w:rPr>
        <w:t>e</w:t>
      </w:r>
      <w:r w:rsidRPr="00C9504C">
        <w:rPr>
          <w:rFonts w:ascii="Arial" w:hAnsi="Arial" w:cs="Arial"/>
          <w:sz w:val="20"/>
          <w:szCs w:val="20"/>
        </w:rPr>
        <w:t>lectrothermal atomic a</w:t>
      </w:r>
      <w:r>
        <w:rPr>
          <w:rFonts w:ascii="Arial" w:hAnsi="Arial" w:cs="Arial"/>
          <w:sz w:val="20"/>
          <w:szCs w:val="20"/>
        </w:rPr>
        <w:t>bsorption spectrometry), FAAS (f</w:t>
      </w:r>
      <w:r w:rsidRPr="00C9504C">
        <w:rPr>
          <w:rFonts w:ascii="Arial" w:hAnsi="Arial" w:cs="Arial"/>
          <w:sz w:val="20"/>
          <w:szCs w:val="20"/>
        </w:rPr>
        <w:t xml:space="preserve">lame atomic absorption spectroscopy), </w:t>
      </w:r>
      <w:r>
        <w:rPr>
          <w:rFonts w:ascii="Arial" w:hAnsi="Arial" w:cs="Arial"/>
          <w:sz w:val="20"/>
          <w:szCs w:val="20"/>
        </w:rPr>
        <w:t>PIXE (p</w:t>
      </w:r>
      <w:r w:rsidRPr="00C9504C">
        <w:rPr>
          <w:rFonts w:ascii="Arial" w:hAnsi="Arial" w:cs="Arial"/>
          <w:sz w:val="20"/>
          <w:szCs w:val="20"/>
        </w:rPr>
        <w:t>roton induced X-ray emission), GC-FID (</w:t>
      </w:r>
      <w:r>
        <w:rPr>
          <w:rFonts w:ascii="Arial" w:hAnsi="Arial" w:cs="Arial"/>
          <w:sz w:val="20"/>
          <w:szCs w:val="20"/>
        </w:rPr>
        <w:t>g</w:t>
      </w:r>
      <w:r w:rsidRPr="00C9504C">
        <w:rPr>
          <w:rFonts w:ascii="Arial" w:hAnsi="Arial" w:cs="Arial"/>
          <w:sz w:val="20"/>
          <w:szCs w:val="20"/>
        </w:rPr>
        <w:t>as chromatography coupled with flame ionisation detector</w:t>
      </w:r>
      <w:r>
        <w:rPr>
          <w:rFonts w:ascii="Arial" w:hAnsi="Arial" w:cs="Arial"/>
          <w:sz w:val="20"/>
          <w:szCs w:val="20"/>
        </w:rPr>
        <w:t>), GC-MS (g</w:t>
      </w:r>
      <w:r w:rsidRPr="00C9504C">
        <w:rPr>
          <w:rFonts w:ascii="Arial" w:hAnsi="Arial" w:cs="Arial"/>
          <w:sz w:val="20"/>
          <w:szCs w:val="20"/>
        </w:rPr>
        <w:t>as chromatography mass spectrometry), TD-GC-MS (</w:t>
      </w:r>
      <w:r>
        <w:rPr>
          <w:rFonts w:ascii="Arial" w:hAnsi="Arial" w:cs="Arial"/>
          <w:sz w:val="20"/>
          <w:szCs w:val="20"/>
        </w:rPr>
        <w:t>i</w:t>
      </w:r>
      <w:r w:rsidRPr="00C9504C">
        <w:rPr>
          <w:rFonts w:ascii="Arial" w:hAnsi="Arial" w:cs="Arial"/>
          <w:sz w:val="20"/>
          <w:szCs w:val="20"/>
        </w:rPr>
        <w:t xml:space="preserve">n-injection port thermal desorption gas chromatography mass spectrometry), GC-Q-TOF-MS </w:t>
      </w:r>
      <w:r>
        <w:rPr>
          <w:rFonts w:ascii="Arial" w:hAnsi="Arial" w:cs="Arial"/>
          <w:sz w:val="20"/>
          <w:szCs w:val="20"/>
        </w:rPr>
        <w:t>(g</w:t>
      </w:r>
      <w:r w:rsidRPr="00C9504C">
        <w:rPr>
          <w:rFonts w:ascii="Arial" w:hAnsi="Arial" w:cs="Arial"/>
          <w:sz w:val="20"/>
          <w:szCs w:val="20"/>
        </w:rPr>
        <w:t>as chromatography coupled with quadrupole time-of flight mass s</w:t>
      </w:r>
      <w:r>
        <w:rPr>
          <w:rFonts w:ascii="Arial" w:hAnsi="Arial" w:cs="Arial"/>
          <w:sz w:val="20"/>
          <w:szCs w:val="20"/>
        </w:rPr>
        <w:t>pectrometry system), GC-MS/MS (g</w:t>
      </w:r>
      <w:r w:rsidRPr="00C9504C">
        <w:rPr>
          <w:rFonts w:ascii="Arial" w:hAnsi="Arial" w:cs="Arial"/>
          <w:sz w:val="20"/>
          <w:szCs w:val="20"/>
        </w:rPr>
        <w:t>as chromatography coupled to a triple quadrupole mass spectrometer), HPLC (</w:t>
      </w:r>
      <w:r>
        <w:rPr>
          <w:rFonts w:ascii="Arial" w:hAnsi="Arial" w:cs="Arial"/>
          <w:sz w:val="20"/>
          <w:szCs w:val="20"/>
        </w:rPr>
        <w:t>h</w:t>
      </w:r>
      <w:r w:rsidRPr="00C9504C">
        <w:rPr>
          <w:rFonts w:ascii="Arial" w:hAnsi="Arial" w:cs="Arial"/>
          <w:sz w:val="20"/>
          <w:szCs w:val="20"/>
        </w:rPr>
        <w:t>igh performance liquid chromatography), HPLC-FLD (</w:t>
      </w:r>
      <w:r>
        <w:rPr>
          <w:rFonts w:ascii="Arial" w:hAnsi="Arial" w:cs="Arial"/>
          <w:sz w:val="20"/>
          <w:szCs w:val="20"/>
        </w:rPr>
        <w:t>h</w:t>
      </w:r>
      <w:r w:rsidRPr="00C9504C">
        <w:rPr>
          <w:rFonts w:ascii="Arial" w:hAnsi="Arial" w:cs="Arial"/>
          <w:sz w:val="20"/>
          <w:szCs w:val="20"/>
        </w:rPr>
        <w:t xml:space="preserve">igh performance liquid chromatography with fluorescence detection), </w:t>
      </w:r>
      <w:r w:rsidRPr="00AE1E24">
        <w:rPr>
          <w:rFonts w:ascii="Arial" w:hAnsi="Arial" w:cs="Arial"/>
          <w:sz w:val="20"/>
          <w:szCs w:val="20"/>
          <w:lang w:val="en-US"/>
        </w:rPr>
        <w:t>MAD (</w:t>
      </w:r>
      <w:r>
        <w:rPr>
          <w:rFonts w:ascii="Arial" w:hAnsi="Arial" w:cs="Arial"/>
          <w:sz w:val="20"/>
          <w:szCs w:val="20"/>
          <w:lang w:val="en-US"/>
        </w:rPr>
        <w:t>m</w:t>
      </w:r>
      <w:proofErr w:type="spellStart"/>
      <w:r w:rsidRPr="00C9504C">
        <w:rPr>
          <w:rFonts w:ascii="Arial" w:hAnsi="Arial" w:cs="Arial"/>
          <w:sz w:val="20"/>
          <w:szCs w:val="20"/>
        </w:rPr>
        <w:t>icrowave</w:t>
      </w:r>
      <w:proofErr w:type="spellEnd"/>
      <w:r w:rsidRPr="00C9504C">
        <w:rPr>
          <w:rFonts w:ascii="Arial" w:hAnsi="Arial" w:cs="Arial"/>
          <w:sz w:val="20"/>
          <w:szCs w:val="20"/>
        </w:rPr>
        <w:t>-assisted digestion),</w:t>
      </w:r>
      <w:r w:rsidRPr="00AE1E24">
        <w:rPr>
          <w:rFonts w:ascii="Arial" w:hAnsi="Arial" w:cs="Arial"/>
          <w:sz w:val="20"/>
          <w:szCs w:val="20"/>
          <w:lang w:val="en-US"/>
        </w:rPr>
        <w:t xml:space="preserve"> HP</w:t>
      </w:r>
      <w:r w:rsidRPr="000D0BA2">
        <w:rPr>
          <w:rFonts w:ascii="Arial" w:hAnsi="Arial" w:cs="Arial"/>
          <w:sz w:val="20"/>
          <w:szCs w:val="20"/>
          <w:lang w:val="en-US"/>
        </w:rPr>
        <w:t xml:space="preserve"> (</w:t>
      </w:r>
      <w:r>
        <w:rPr>
          <w:rFonts w:ascii="Arial" w:hAnsi="Arial" w:cs="Arial"/>
          <w:sz w:val="20"/>
          <w:szCs w:val="20"/>
          <w:lang w:val="en-US"/>
        </w:rPr>
        <w:t>h</w:t>
      </w:r>
      <w:r w:rsidRPr="000D0BA2">
        <w:rPr>
          <w:rFonts w:ascii="Arial" w:hAnsi="Arial" w:cs="Arial"/>
          <w:sz w:val="20"/>
          <w:szCs w:val="20"/>
          <w:lang w:val="en-US"/>
        </w:rPr>
        <w:t>ot plate), UAE (</w:t>
      </w:r>
      <w:r>
        <w:rPr>
          <w:rFonts w:ascii="Arial" w:hAnsi="Arial" w:cs="Arial"/>
          <w:sz w:val="20"/>
          <w:szCs w:val="20"/>
        </w:rPr>
        <w:t>u</w:t>
      </w:r>
      <w:r w:rsidRPr="00C9504C">
        <w:rPr>
          <w:rFonts w:ascii="Arial" w:hAnsi="Arial" w:cs="Arial"/>
          <w:sz w:val="20"/>
          <w:szCs w:val="20"/>
        </w:rPr>
        <w:t>ltrasound-assisted</w:t>
      </w:r>
      <w:r w:rsidRPr="00AE1E24">
        <w:rPr>
          <w:rFonts w:ascii="Arial" w:hAnsi="Arial" w:cs="Arial"/>
          <w:sz w:val="20"/>
          <w:szCs w:val="20"/>
          <w:lang w:val="en-US"/>
        </w:rPr>
        <w:t xml:space="preserve"> </w:t>
      </w:r>
      <w:r>
        <w:rPr>
          <w:rFonts w:ascii="Arial" w:hAnsi="Arial" w:cs="Arial"/>
          <w:sz w:val="20"/>
          <w:szCs w:val="20"/>
          <w:lang w:val="en-US"/>
        </w:rPr>
        <w:t>extraction</w:t>
      </w:r>
      <w:r w:rsidRPr="00AE1E24">
        <w:rPr>
          <w:rFonts w:ascii="Arial" w:hAnsi="Arial" w:cs="Arial"/>
          <w:sz w:val="20"/>
          <w:szCs w:val="20"/>
          <w:lang w:val="en-US"/>
        </w:rPr>
        <w:t>), MSE (</w:t>
      </w:r>
      <w:r>
        <w:rPr>
          <w:rFonts w:ascii="Arial" w:hAnsi="Arial" w:cs="Arial"/>
          <w:sz w:val="20"/>
          <w:szCs w:val="20"/>
          <w:lang w:val="en-US"/>
        </w:rPr>
        <w:t>m</w:t>
      </w:r>
      <w:proofErr w:type="spellStart"/>
      <w:r w:rsidRPr="00C9504C">
        <w:rPr>
          <w:rFonts w:ascii="Arial" w:hAnsi="Arial" w:cs="Arial"/>
          <w:sz w:val="20"/>
          <w:szCs w:val="20"/>
        </w:rPr>
        <w:t>echanical</w:t>
      </w:r>
      <w:proofErr w:type="spellEnd"/>
      <w:r w:rsidRPr="00C9504C">
        <w:rPr>
          <w:rFonts w:ascii="Arial" w:hAnsi="Arial" w:cs="Arial"/>
          <w:sz w:val="20"/>
          <w:szCs w:val="20"/>
        </w:rPr>
        <w:t xml:space="preserve"> shaking extraction),</w:t>
      </w:r>
      <w:r w:rsidRPr="00020242">
        <w:rPr>
          <w:rFonts w:ascii="Arial" w:hAnsi="Arial" w:cs="Arial"/>
          <w:sz w:val="20"/>
          <w:szCs w:val="20"/>
        </w:rPr>
        <w:t xml:space="preserve"> </w:t>
      </w:r>
      <w:r w:rsidRPr="00AE1E24">
        <w:rPr>
          <w:rFonts w:ascii="Arial" w:hAnsi="Arial" w:cs="Arial"/>
          <w:sz w:val="20"/>
          <w:szCs w:val="20"/>
          <w:lang w:val="en-US"/>
        </w:rPr>
        <w:t>ASE</w:t>
      </w:r>
      <w:r w:rsidRPr="00020242">
        <w:rPr>
          <w:rFonts w:ascii="Arial" w:hAnsi="Arial" w:cs="Arial"/>
          <w:sz w:val="20"/>
          <w:szCs w:val="20"/>
          <w:lang w:val="en-US"/>
        </w:rPr>
        <w:t xml:space="preserve"> (</w:t>
      </w:r>
      <w:r>
        <w:rPr>
          <w:rFonts w:ascii="Arial" w:hAnsi="Arial" w:cs="Arial"/>
          <w:sz w:val="20"/>
          <w:szCs w:val="20"/>
        </w:rPr>
        <w:t>a</w:t>
      </w:r>
      <w:r w:rsidRPr="00C9504C">
        <w:rPr>
          <w:rFonts w:ascii="Arial" w:hAnsi="Arial" w:cs="Arial"/>
          <w:sz w:val="20"/>
          <w:szCs w:val="20"/>
        </w:rPr>
        <w:t>cceler</w:t>
      </w:r>
      <w:r>
        <w:rPr>
          <w:rFonts w:ascii="Arial" w:hAnsi="Arial" w:cs="Arial"/>
          <w:sz w:val="20"/>
          <w:szCs w:val="20"/>
        </w:rPr>
        <w:t>ated solvent extraction), SOE (</w:t>
      </w:r>
      <w:proofErr w:type="spellStart"/>
      <w:r>
        <w:rPr>
          <w:rFonts w:ascii="Arial" w:hAnsi="Arial" w:cs="Arial"/>
          <w:sz w:val="20"/>
          <w:szCs w:val="20"/>
        </w:rPr>
        <w:t>s</w:t>
      </w:r>
      <w:r w:rsidRPr="00C9504C">
        <w:rPr>
          <w:rFonts w:ascii="Arial" w:hAnsi="Arial" w:cs="Arial"/>
          <w:sz w:val="20"/>
          <w:szCs w:val="20"/>
        </w:rPr>
        <w:t>oxhlet</w:t>
      </w:r>
      <w:proofErr w:type="spellEnd"/>
      <w:r w:rsidRPr="00C9504C">
        <w:rPr>
          <w:rFonts w:ascii="Arial" w:hAnsi="Arial" w:cs="Arial"/>
          <w:sz w:val="20"/>
          <w:szCs w:val="20"/>
        </w:rPr>
        <w:t xml:space="preserve"> extraction), HNO</w:t>
      </w:r>
      <w:r w:rsidRPr="00C9504C">
        <w:rPr>
          <w:rFonts w:ascii="Arial" w:hAnsi="Arial" w:cs="Arial"/>
          <w:sz w:val="20"/>
          <w:szCs w:val="20"/>
          <w:vertAlign w:val="subscript"/>
        </w:rPr>
        <w:t>3</w:t>
      </w:r>
      <w:r w:rsidRPr="00C9504C">
        <w:rPr>
          <w:rFonts w:ascii="Arial" w:hAnsi="Arial" w:cs="Arial"/>
          <w:sz w:val="20"/>
          <w:szCs w:val="20"/>
        </w:rPr>
        <w:t xml:space="preserve"> (</w:t>
      </w:r>
      <w:r>
        <w:rPr>
          <w:rFonts w:ascii="Arial" w:hAnsi="Arial" w:cs="Arial"/>
          <w:sz w:val="20"/>
          <w:szCs w:val="20"/>
        </w:rPr>
        <w:t>n</w:t>
      </w:r>
      <w:r w:rsidRPr="00C9504C">
        <w:rPr>
          <w:rFonts w:ascii="Arial" w:hAnsi="Arial" w:cs="Arial"/>
          <w:sz w:val="20"/>
          <w:szCs w:val="20"/>
        </w:rPr>
        <w:t>itric acid), HF (</w:t>
      </w:r>
      <w:r>
        <w:rPr>
          <w:rFonts w:ascii="Arial" w:hAnsi="Arial" w:cs="Arial"/>
          <w:sz w:val="20"/>
          <w:szCs w:val="20"/>
        </w:rPr>
        <w:t>h</w:t>
      </w:r>
      <w:r w:rsidRPr="00C9504C">
        <w:rPr>
          <w:rFonts w:ascii="Arial" w:hAnsi="Arial" w:cs="Arial"/>
          <w:sz w:val="20"/>
          <w:szCs w:val="20"/>
        </w:rPr>
        <w:t>ydrofluoric acid</w:t>
      </w:r>
      <w:r>
        <w:rPr>
          <w:rFonts w:ascii="Arial" w:hAnsi="Arial" w:cs="Arial"/>
          <w:sz w:val="20"/>
          <w:szCs w:val="20"/>
        </w:rPr>
        <w:t>), HCl (h</w:t>
      </w:r>
      <w:r w:rsidRPr="00C9504C">
        <w:rPr>
          <w:rFonts w:ascii="Arial" w:hAnsi="Arial" w:cs="Arial"/>
          <w:sz w:val="20"/>
          <w:szCs w:val="20"/>
        </w:rPr>
        <w:t>ydrochloric acid), HClO</w:t>
      </w:r>
      <w:r w:rsidRPr="00C9504C">
        <w:rPr>
          <w:rFonts w:ascii="Arial" w:hAnsi="Arial" w:cs="Arial"/>
          <w:sz w:val="20"/>
          <w:szCs w:val="20"/>
          <w:vertAlign w:val="subscript"/>
        </w:rPr>
        <w:t>4</w:t>
      </w:r>
      <w:r>
        <w:rPr>
          <w:rFonts w:ascii="Arial" w:hAnsi="Arial" w:cs="Arial"/>
          <w:sz w:val="20"/>
          <w:szCs w:val="20"/>
        </w:rPr>
        <w:t xml:space="preserve"> (p</w:t>
      </w:r>
      <w:r w:rsidRPr="00C9504C">
        <w:rPr>
          <w:rFonts w:ascii="Arial" w:hAnsi="Arial" w:cs="Arial"/>
          <w:sz w:val="20"/>
          <w:szCs w:val="20"/>
        </w:rPr>
        <w:t>erchloric acid), H</w:t>
      </w:r>
      <w:r w:rsidRPr="00C9504C">
        <w:rPr>
          <w:rFonts w:ascii="Arial" w:hAnsi="Arial" w:cs="Arial"/>
          <w:sz w:val="20"/>
          <w:szCs w:val="20"/>
          <w:vertAlign w:val="subscript"/>
        </w:rPr>
        <w:t>2</w:t>
      </w:r>
      <w:r w:rsidRPr="00C9504C">
        <w:rPr>
          <w:rFonts w:ascii="Arial" w:hAnsi="Arial" w:cs="Arial"/>
          <w:sz w:val="20"/>
          <w:szCs w:val="20"/>
        </w:rPr>
        <w:t>O</w:t>
      </w:r>
      <w:r w:rsidRPr="00C9504C">
        <w:rPr>
          <w:rFonts w:ascii="Arial" w:hAnsi="Arial" w:cs="Arial"/>
          <w:sz w:val="20"/>
          <w:szCs w:val="20"/>
          <w:vertAlign w:val="subscript"/>
        </w:rPr>
        <w:t>2</w:t>
      </w:r>
      <w:r>
        <w:rPr>
          <w:rFonts w:ascii="Arial" w:hAnsi="Arial" w:cs="Arial"/>
          <w:sz w:val="20"/>
          <w:szCs w:val="20"/>
        </w:rPr>
        <w:t xml:space="preserve"> (h</w:t>
      </w:r>
      <w:r w:rsidRPr="00C9504C">
        <w:rPr>
          <w:rFonts w:ascii="Arial" w:hAnsi="Arial" w:cs="Arial"/>
          <w:sz w:val="20"/>
          <w:szCs w:val="20"/>
        </w:rPr>
        <w:t>ydrogen peroxide), H</w:t>
      </w:r>
      <w:r w:rsidRPr="00C9504C">
        <w:rPr>
          <w:rFonts w:ascii="Arial" w:hAnsi="Arial" w:cs="Arial"/>
          <w:sz w:val="20"/>
          <w:szCs w:val="20"/>
          <w:vertAlign w:val="subscript"/>
        </w:rPr>
        <w:t>3</w:t>
      </w:r>
      <w:r w:rsidRPr="00C9504C">
        <w:rPr>
          <w:rFonts w:ascii="Arial" w:hAnsi="Arial" w:cs="Arial"/>
          <w:sz w:val="20"/>
          <w:szCs w:val="20"/>
        </w:rPr>
        <w:t>BO</w:t>
      </w:r>
      <w:r w:rsidRPr="00C9504C">
        <w:rPr>
          <w:rFonts w:ascii="Arial" w:hAnsi="Arial" w:cs="Arial"/>
          <w:sz w:val="20"/>
          <w:szCs w:val="20"/>
          <w:vertAlign w:val="subscript"/>
        </w:rPr>
        <w:t>3</w:t>
      </w:r>
      <w:r w:rsidRPr="00C9504C">
        <w:rPr>
          <w:rFonts w:ascii="Arial" w:hAnsi="Arial" w:cs="Arial"/>
          <w:sz w:val="20"/>
          <w:szCs w:val="20"/>
        </w:rPr>
        <w:t xml:space="preserve"> (</w:t>
      </w:r>
      <w:r>
        <w:rPr>
          <w:rFonts w:ascii="Arial" w:hAnsi="Arial" w:cs="Arial"/>
          <w:sz w:val="20"/>
          <w:szCs w:val="20"/>
        </w:rPr>
        <w:t>b</w:t>
      </w:r>
      <w:r w:rsidRPr="00C9504C">
        <w:rPr>
          <w:rFonts w:ascii="Arial" w:hAnsi="Arial" w:cs="Arial"/>
          <w:sz w:val="20"/>
          <w:szCs w:val="20"/>
        </w:rPr>
        <w:t xml:space="preserve">oric acid), </w:t>
      </w:r>
      <w:r w:rsidRPr="00020242">
        <w:rPr>
          <w:rFonts w:ascii="Arial" w:hAnsi="Arial" w:cs="Arial"/>
          <w:sz w:val="20"/>
          <w:szCs w:val="20"/>
        </w:rPr>
        <w:t>C</w:t>
      </w:r>
      <w:r w:rsidRPr="00020242">
        <w:rPr>
          <w:rFonts w:ascii="Arial" w:hAnsi="Arial" w:cs="Arial"/>
          <w:sz w:val="20"/>
          <w:szCs w:val="20"/>
          <w:vertAlign w:val="subscript"/>
        </w:rPr>
        <w:t>3</w:t>
      </w:r>
      <w:r w:rsidRPr="00020242">
        <w:rPr>
          <w:rFonts w:ascii="Arial" w:hAnsi="Arial" w:cs="Arial"/>
          <w:sz w:val="20"/>
          <w:szCs w:val="20"/>
        </w:rPr>
        <w:t>H</w:t>
      </w:r>
      <w:r w:rsidRPr="00020242">
        <w:rPr>
          <w:rFonts w:ascii="Arial" w:hAnsi="Arial" w:cs="Arial"/>
          <w:sz w:val="20"/>
          <w:szCs w:val="20"/>
          <w:vertAlign w:val="subscript"/>
        </w:rPr>
        <w:t>8</w:t>
      </w:r>
      <w:r w:rsidRPr="00020242">
        <w:rPr>
          <w:rFonts w:ascii="Arial" w:hAnsi="Arial" w:cs="Arial"/>
          <w:sz w:val="20"/>
          <w:szCs w:val="20"/>
        </w:rPr>
        <w:t>O (</w:t>
      </w:r>
      <w:r>
        <w:rPr>
          <w:rFonts w:ascii="Arial" w:hAnsi="Arial" w:cs="Arial"/>
          <w:sz w:val="20"/>
          <w:szCs w:val="20"/>
        </w:rPr>
        <w:t>i</w:t>
      </w:r>
      <w:r w:rsidRPr="00C9504C">
        <w:rPr>
          <w:rFonts w:ascii="Arial" w:hAnsi="Arial" w:cs="Arial"/>
          <w:sz w:val="20"/>
          <w:szCs w:val="20"/>
        </w:rPr>
        <w:t>sopropyl alcohol</w:t>
      </w:r>
      <w:r w:rsidRPr="00020242">
        <w:rPr>
          <w:rFonts w:ascii="Arial" w:hAnsi="Arial" w:cs="Arial"/>
          <w:sz w:val="20"/>
          <w:szCs w:val="20"/>
        </w:rPr>
        <w:t>), DCM (</w:t>
      </w:r>
      <w:r>
        <w:rPr>
          <w:rFonts w:ascii="Arial" w:hAnsi="Arial" w:cs="Arial"/>
          <w:sz w:val="20"/>
          <w:szCs w:val="20"/>
        </w:rPr>
        <w:t>dichloromethane), Hx (h</w:t>
      </w:r>
      <w:r w:rsidRPr="00020242">
        <w:rPr>
          <w:rFonts w:ascii="Arial" w:hAnsi="Arial" w:cs="Arial"/>
          <w:sz w:val="20"/>
          <w:szCs w:val="20"/>
        </w:rPr>
        <w:t>exane), MeOH (</w:t>
      </w:r>
      <w:r>
        <w:rPr>
          <w:rFonts w:ascii="Arial" w:hAnsi="Arial" w:cs="Arial"/>
          <w:sz w:val="20"/>
          <w:szCs w:val="20"/>
        </w:rPr>
        <w:t>m</w:t>
      </w:r>
      <w:r w:rsidRPr="00020242">
        <w:rPr>
          <w:rFonts w:ascii="Arial" w:hAnsi="Arial" w:cs="Arial"/>
          <w:sz w:val="20"/>
          <w:szCs w:val="20"/>
        </w:rPr>
        <w:t>ethanol</w:t>
      </w:r>
      <w:r>
        <w:rPr>
          <w:rFonts w:ascii="Arial" w:hAnsi="Arial" w:cs="Arial"/>
          <w:sz w:val="20"/>
          <w:szCs w:val="20"/>
        </w:rPr>
        <w:t>), Ace (a</w:t>
      </w:r>
      <w:r w:rsidRPr="00C9504C">
        <w:rPr>
          <w:rFonts w:ascii="Arial" w:hAnsi="Arial" w:cs="Arial"/>
          <w:sz w:val="20"/>
          <w:szCs w:val="20"/>
        </w:rPr>
        <w:t>cetone</w:t>
      </w:r>
      <w:r>
        <w:rPr>
          <w:rFonts w:ascii="Arial" w:hAnsi="Arial" w:cs="Arial"/>
          <w:sz w:val="20"/>
          <w:szCs w:val="20"/>
        </w:rPr>
        <w:t>), Tl (t</w:t>
      </w:r>
      <w:r w:rsidRPr="00C9504C">
        <w:rPr>
          <w:rFonts w:ascii="Arial" w:hAnsi="Arial" w:cs="Arial"/>
          <w:sz w:val="20"/>
          <w:szCs w:val="20"/>
        </w:rPr>
        <w:t xml:space="preserve">oluene), </w:t>
      </w:r>
      <w:proofErr w:type="spellStart"/>
      <w:r>
        <w:rPr>
          <w:rFonts w:ascii="Arial" w:hAnsi="Arial" w:cs="Arial"/>
          <w:sz w:val="20"/>
          <w:szCs w:val="20"/>
        </w:rPr>
        <w:t>MeCN</w:t>
      </w:r>
      <w:proofErr w:type="spellEnd"/>
      <w:r>
        <w:rPr>
          <w:rFonts w:ascii="Arial" w:hAnsi="Arial" w:cs="Arial"/>
          <w:sz w:val="20"/>
          <w:szCs w:val="20"/>
        </w:rPr>
        <w:t xml:space="preserve"> (a</w:t>
      </w:r>
      <w:r w:rsidRPr="00C9504C">
        <w:rPr>
          <w:rFonts w:ascii="Arial" w:hAnsi="Arial" w:cs="Arial"/>
          <w:sz w:val="20"/>
          <w:szCs w:val="20"/>
        </w:rPr>
        <w:t xml:space="preserve">cetonitrile), </w:t>
      </w:r>
      <w:r>
        <w:rPr>
          <w:rFonts w:ascii="Arial" w:hAnsi="Arial" w:cs="Arial"/>
          <w:sz w:val="20"/>
          <w:szCs w:val="20"/>
        </w:rPr>
        <w:t>Eth (d</w:t>
      </w:r>
      <w:r w:rsidRPr="00C9504C">
        <w:rPr>
          <w:rFonts w:ascii="Arial" w:hAnsi="Arial" w:cs="Arial"/>
          <w:sz w:val="20"/>
          <w:szCs w:val="20"/>
        </w:rPr>
        <w:t>iethyl ether), CH</w:t>
      </w:r>
      <w:r w:rsidRPr="00C9504C">
        <w:rPr>
          <w:rFonts w:ascii="Arial" w:hAnsi="Arial" w:cs="Arial"/>
          <w:sz w:val="20"/>
          <w:szCs w:val="20"/>
          <w:vertAlign w:val="subscript"/>
        </w:rPr>
        <w:t>2</w:t>
      </w:r>
      <w:r w:rsidRPr="00C9504C">
        <w:rPr>
          <w:rFonts w:ascii="Arial" w:hAnsi="Arial" w:cs="Arial"/>
          <w:sz w:val="20"/>
          <w:szCs w:val="20"/>
        </w:rPr>
        <w:t>Cl</w:t>
      </w:r>
      <w:r w:rsidRPr="00C9504C">
        <w:rPr>
          <w:rFonts w:ascii="Arial" w:hAnsi="Arial" w:cs="Arial"/>
          <w:sz w:val="20"/>
          <w:szCs w:val="20"/>
          <w:vertAlign w:val="subscript"/>
        </w:rPr>
        <w:t>2</w:t>
      </w:r>
      <w:r>
        <w:rPr>
          <w:rFonts w:ascii="Arial" w:hAnsi="Arial" w:cs="Arial"/>
          <w:sz w:val="20"/>
          <w:szCs w:val="20"/>
        </w:rPr>
        <w:t xml:space="preserve"> (m</w:t>
      </w:r>
      <w:r w:rsidRPr="00C9504C">
        <w:rPr>
          <w:rFonts w:ascii="Arial" w:hAnsi="Arial" w:cs="Arial"/>
          <w:sz w:val="20"/>
          <w:szCs w:val="20"/>
        </w:rPr>
        <w:t xml:space="preserve">ethylene chloride), </w:t>
      </w:r>
      <w:proofErr w:type="spellStart"/>
      <w:r w:rsidRPr="00C9504C">
        <w:rPr>
          <w:rFonts w:ascii="Arial" w:hAnsi="Arial" w:cs="Arial"/>
          <w:sz w:val="20"/>
          <w:szCs w:val="20"/>
        </w:rPr>
        <w:t>Chx</w:t>
      </w:r>
      <w:proofErr w:type="spellEnd"/>
      <w:r w:rsidRPr="00C9504C">
        <w:rPr>
          <w:rFonts w:ascii="Arial" w:hAnsi="Arial" w:cs="Arial"/>
          <w:sz w:val="20"/>
          <w:szCs w:val="20"/>
        </w:rPr>
        <w:t xml:space="preserve"> (</w:t>
      </w:r>
      <w:r>
        <w:rPr>
          <w:rFonts w:ascii="Arial" w:hAnsi="Arial" w:cs="Arial"/>
          <w:sz w:val="20"/>
          <w:szCs w:val="20"/>
        </w:rPr>
        <w:t>c</w:t>
      </w:r>
      <w:r w:rsidRPr="00C9504C">
        <w:rPr>
          <w:rFonts w:ascii="Arial" w:hAnsi="Arial" w:cs="Arial"/>
          <w:sz w:val="20"/>
          <w:szCs w:val="20"/>
        </w:rPr>
        <w:t>yclohexane), H</w:t>
      </w:r>
      <w:r w:rsidRPr="00C9504C">
        <w:rPr>
          <w:rFonts w:ascii="Arial" w:hAnsi="Arial" w:cs="Arial"/>
          <w:sz w:val="20"/>
          <w:szCs w:val="20"/>
          <w:vertAlign w:val="subscript"/>
        </w:rPr>
        <w:t>2</w:t>
      </w:r>
      <w:r w:rsidRPr="00C9504C">
        <w:rPr>
          <w:rFonts w:ascii="Arial" w:hAnsi="Arial" w:cs="Arial"/>
          <w:sz w:val="20"/>
          <w:szCs w:val="20"/>
        </w:rPr>
        <w:t>SO</w:t>
      </w:r>
      <w:r w:rsidRPr="00C9504C">
        <w:rPr>
          <w:rFonts w:ascii="Arial" w:hAnsi="Arial" w:cs="Arial"/>
          <w:sz w:val="20"/>
          <w:szCs w:val="20"/>
          <w:vertAlign w:val="subscript"/>
        </w:rPr>
        <w:t>4</w:t>
      </w:r>
      <w:r>
        <w:rPr>
          <w:rFonts w:ascii="Arial" w:hAnsi="Arial" w:cs="Arial"/>
          <w:sz w:val="20"/>
          <w:szCs w:val="20"/>
        </w:rPr>
        <w:t xml:space="preserve"> (s</w:t>
      </w:r>
      <w:r w:rsidRPr="00C9504C">
        <w:rPr>
          <w:rFonts w:ascii="Arial" w:hAnsi="Arial" w:cs="Arial"/>
          <w:sz w:val="20"/>
          <w:szCs w:val="20"/>
        </w:rPr>
        <w:t>ulphuric acid</w:t>
      </w:r>
      <w:r>
        <w:rPr>
          <w:rFonts w:ascii="Arial" w:hAnsi="Arial" w:cs="Arial"/>
          <w:sz w:val="20"/>
          <w:szCs w:val="20"/>
        </w:rPr>
        <w:t>), Pet Eth (p</w:t>
      </w:r>
      <w:r w:rsidRPr="00C9504C">
        <w:rPr>
          <w:rFonts w:ascii="Arial" w:hAnsi="Arial" w:cs="Arial"/>
          <w:sz w:val="20"/>
          <w:szCs w:val="20"/>
        </w:rPr>
        <w:t xml:space="preserve">etroleum ether), </w:t>
      </w:r>
      <w:r w:rsidRPr="00AE1E24">
        <w:rPr>
          <w:rFonts w:ascii="Arial" w:hAnsi="Arial" w:cs="Arial"/>
          <w:sz w:val="20"/>
          <w:szCs w:val="20"/>
          <w:lang w:val="en-US"/>
        </w:rPr>
        <w:t>CRM (</w:t>
      </w:r>
      <w:r>
        <w:rPr>
          <w:rFonts w:ascii="Arial" w:hAnsi="Arial" w:cs="Arial"/>
          <w:sz w:val="20"/>
          <w:szCs w:val="20"/>
          <w:lang w:val="en-US"/>
        </w:rPr>
        <w:t>c</w:t>
      </w:r>
      <w:proofErr w:type="spellStart"/>
      <w:r w:rsidRPr="00C9504C">
        <w:rPr>
          <w:rFonts w:ascii="Arial" w:hAnsi="Arial" w:cs="Arial"/>
          <w:sz w:val="20"/>
          <w:szCs w:val="20"/>
        </w:rPr>
        <w:t>ertified</w:t>
      </w:r>
      <w:proofErr w:type="spellEnd"/>
      <w:r w:rsidRPr="00C9504C">
        <w:rPr>
          <w:rFonts w:ascii="Arial" w:hAnsi="Arial" w:cs="Arial"/>
          <w:sz w:val="20"/>
          <w:szCs w:val="20"/>
        </w:rPr>
        <w:t xml:space="preserve"> reference material), </w:t>
      </w:r>
      <w:r w:rsidRPr="00AE1E24">
        <w:rPr>
          <w:rFonts w:ascii="Arial" w:hAnsi="Arial" w:cs="Arial"/>
          <w:sz w:val="20"/>
          <w:szCs w:val="20"/>
          <w:lang w:val="en-US"/>
        </w:rPr>
        <w:t>QA/QC (</w:t>
      </w:r>
      <w:r>
        <w:rPr>
          <w:rFonts w:ascii="Arial" w:hAnsi="Arial" w:cs="Arial"/>
          <w:sz w:val="20"/>
          <w:szCs w:val="20"/>
          <w:lang w:val="en-US"/>
        </w:rPr>
        <w:t>q</w:t>
      </w:r>
      <w:proofErr w:type="spellStart"/>
      <w:r w:rsidRPr="00C9504C">
        <w:rPr>
          <w:rFonts w:ascii="Arial" w:hAnsi="Arial" w:cs="Arial"/>
          <w:sz w:val="20"/>
          <w:szCs w:val="20"/>
        </w:rPr>
        <w:t>uality</w:t>
      </w:r>
      <w:proofErr w:type="spellEnd"/>
      <w:r w:rsidRPr="00C9504C">
        <w:rPr>
          <w:rFonts w:ascii="Arial" w:hAnsi="Arial" w:cs="Arial"/>
          <w:sz w:val="20"/>
          <w:szCs w:val="20"/>
        </w:rPr>
        <w:t xml:space="preserve"> assurance and control), </w:t>
      </w:r>
      <w:r w:rsidRPr="00AE1E24">
        <w:rPr>
          <w:rFonts w:ascii="Arial" w:hAnsi="Arial" w:cs="Arial"/>
          <w:sz w:val="20"/>
          <w:szCs w:val="20"/>
          <w:lang w:val="en-US"/>
        </w:rPr>
        <w:t>ILCR (</w:t>
      </w:r>
      <w:proofErr w:type="spellStart"/>
      <w:r>
        <w:rPr>
          <w:rFonts w:ascii="Arial" w:hAnsi="Arial" w:cs="Arial"/>
          <w:sz w:val="20"/>
          <w:szCs w:val="20"/>
          <w:lang w:val="en-US"/>
        </w:rPr>
        <w:t>i</w:t>
      </w:r>
      <w:r w:rsidRPr="00C9504C">
        <w:rPr>
          <w:rFonts w:ascii="Arial" w:hAnsi="Arial" w:cs="Arial"/>
          <w:sz w:val="20"/>
          <w:szCs w:val="20"/>
        </w:rPr>
        <w:t>ncremental</w:t>
      </w:r>
      <w:proofErr w:type="spellEnd"/>
      <w:r w:rsidRPr="00C9504C">
        <w:rPr>
          <w:rFonts w:ascii="Arial" w:hAnsi="Arial" w:cs="Arial"/>
          <w:sz w:val="20"/>
          <w:szCs w:val="20"/>
        </w:rPr>
        <w:t xml:space="preserve"> lifetime cancer risk), </w:t>
      </w:r>
      <w:proofErr w:type="spellStart"/>
      <w:r w:rsidRPr="00C9504C">
        <w:rPr>
          <w:rFonts w:ascii="Arial" w:hAnsi="Arial" w:cs="Arial"/>
          <w:sz w:val="20"/>
          <w:szCs w:val="20"/>
        </w:rPr>
        <w:t>BaP</w:t>
      </w:r>
      <w:r w:rsidRPr="00C9504C">
        <w:rPr>
          <w:rFonts w:ascii="Arial" w:hAnsi="Arial" w:cs="Arial"/>
          <w:sz w:val="20"/>
          <w:szCs w:val="20"/>
          <w:vertAlign w:val="subscript"/>
        </w:rPr>
        <w:t>eq</w:t>
      </w:r>
      <w:proofErr w:type="spellEnd"/>
      <w:r>
        <w:rPr>
          <w:rFonts w:ascii="Arial" w:hAnsi="Arial" w:cs="Arial"/>
          <w:sz w:val="20"/>
          <w:szCs w:val="20"/>
        </w:rPr>
        <w:t xml:space="preserve"> (c</w:t>
      </w:r>
      <w:r w:rsidRPr="00C9504C">
        <w:rPr>
          <w:rFonts w:ascii="Arial" w:hAnsi="Arial" w:cs="Arial"/>
          <w:sz w:val="20"/>
          <w:szCs w:val="20"/>
        </w:rPr>
        <w:t xml:space="preserve">arcinogenic equivalent concentration of </w:t>
      </w:r>
      <w:r>
        <w:rPr>
          <w:rFonts w:ascii="Arial" w:hAnsi="Arial" w:cs="Arial"/>
          <w:sz w:val="20"/>
          <w:szCs w:val="20"/>
        </w:rPr>
        <w:t>benzo[a]pyrene</w:t>
      </w:r>
      <w:r w:rsidRPr="00C9504C">
        <w:rPr>
          <w:rFonts w:ascii="Arial" w:hAnsi="Arial" w:cs="Arial"/>
          <w:sz w:val="20"/>
          <w:szCs w:val="20"/>
        </w:rPr>
        <w:t>), LADD (</w:t>
      </w:r>
      <w:r>
        <w:rPr>
          <w:rFonts w:ascii="Arial" w:hAnsi="Arial" w:cs="Arial"/>
          <w:sz w:val="20"/>
          <w:szCs w:val="20"/>
        </w:rPr>
        <w:t>l</w:t>
      </w:r>
      <w:r w:rsidRPr="00C9504C">
        <w:rPr>
          <w:rFonts w:ascii="Arial" w:hAnsi="Arial" w:cs="Arial"/>
          <w:sz w:val="20"/>
          <w:szCs w:val="20"/>
        </w:rPr>
        <w:t>ifetime daily exposure dose)</w:t>
      </w:r>
      <w:r>
        <w:rPr>
          <w:rFonts w:ascii="Arial" w:hAnsi="Arial" w:cs="Arial"/>
          <w:sz w:val="20"/>
          <w:szCs w:val="20"/>
        </w:rPr>
        <w:t>, EF (enrichment factor), HQ (h</w:t>
      </w:r>
      <w:r w:rsidRPr="00C9504C">
        <w:rPr>
          <w:rFonts w:ascii="Arial" w:hAnsi="Arial" w:cs="Arial"/>
          <w:sz w:val="20"/>
          <w:szCs w:val="20"/>
        </w:rPr>
        <w:t>azard quot</w:t>
      </w:r>
      <w:r>
        <w:rPr>
          <w:rFonts w:ascii="Arial" w:hAnsi="Arial" w:cs="Arial"/>
          <w:sz w:val="20"/>
          <w:szCs w:val="20"/>
        </w:rPr>
        <w:t>ient), HI (hazard index), LLE (l</w:t>
      </w:r>
      <w:r w:rsidRPr="00C9504C">
        <w:rPr>
          <w:rFonts w:ascii="Arial" w:hAnsi="Arial" w:cs="Arial"/>
          <w:sz w:val="20"/>
          <w:szCs w:val="20"/>
        </w:rPr>
        <w:t>oss of life expectancy), DAD (</w:t>
      </w:r>
      <w:r>
        <w:rPr>
          <w:rFonts w:ascii="Arial" w:hAnsi="Arial" w:cs="Arial"/>
          <w:sz w:val="20"/>
          <w:szCs w:val="20"/>
        </w:rPr>
        <w:t>d</w:t>
      </w:r>
      <w:r w:rsidRPr="00C9504C">
        <w:rPr>
          <w:rFonts w:ascii="Arial" w:hAnsi="Arial" w:cs="Arial"/>
          <w:sz w:val="20"/>
          <w:szCs w:val="20"/>
        </w:rPr>
        <w:t>ermal absorption dose</w:t>
      </w:r>
      <w:r>
        <w:rPr>
          <w:rFonts w:ascii="Arial" w:hAnsi="Arial" w:cs="Arial"/>
          <w:sz w:val="20"/>
          <w:szCs w:val="20"/>
        </w:rPr>
        <w:t>), RC (r</w:t>
      </w:r>
      <w:r w:rsidRPr="00C9504C">
        <w:rPr>
          <w:rFonts w:ascii="Arial" w:hAnsi="Arial" w:cs="Arial"/>
          <w:sz w:val="20"/>
          <w:szCs w:val="20"/>
        </w:rPr>
        <w:t xml:space="preserve">elative abundance ratio of an individual PAH to the carcinogenic marker </w:t>
      </w:r>
      <w:proofErr w:type="spellStart"/>
      <w:r w:rsidRPr="00C9504C">
        <w:rPr>
          <w:rFonts w:ascii="Arial" w:hAnsi="Arial" w:cs="Arial"/>
          <w:sz w:val="20"/>
          <w:szCs w:val="20"/>
        </w:rPr>
        <w:t>BaP</w:t>
      </w:r>
      <w:proofErr w:type="spellEnd"/>
      <w:r w:rsidRPr="00C9504C">
        <w:rPr>
          <w:rFonts w:ascii="Arial" w:hAnsi="Arial" w:cs="Arial"/>
          <w:sz w:val="20"/>
          <w:szCs w:val="20"/>
        </w:rPr>
        <w:t xml:space="preserve">), </w:t>
      </w:r>
      <w:r>
        <w:rPr>
          <w:rFonts w:ascii="Arial" w:hAnsi="Arial" w:cs="Arial"/>
          <w:sz w:val="20"/>
          <w:szCs w:val="20"/>
        </w:rPr>
        <w:t>PMF (positive matrix factorisation), DR (diagnostic ratio), PCA (p</w:t>
      </w:r>
      <w:r w:rsidRPr="00C9504C">
        <w:rPr>
          <w:rFonts w:ascii="Arial" w:hAnsi="Arial" w:cs="Arial"/>
          <w:sz w:val="20"/>
          <w:szCs w:val="20"/>
        </w:rPr>
        <w:t>rincipal component analysis), CMB</w:t>
      </w:r>
      <w:r>
        <w:rPr>
          <w:rFonts w:ascii="Arial" w:hAnsi="Arial" w:cs="Arial"/>
          <w:sz w:val="20"/>
          <w:szCs w:val="20"/>
        </w:rPr>
        <w:t xml:space="preserve"> (chemical mass balance), CMC (c</w:t>
      </w:r>
      <w:r w:rsidRPr="00C9504C">
        <w:rPr>
          <w:rFonts w:ascii="Arial" w:hAnsi="Arial" w:cs="Arial"/>
          <w:sz w:val="20"/>
          <w:szCs w:val="20"/>
        </w:rPr>
        <w:t>rus</w:t>
      </w:r>
      <w:r>
        <w:rPr>
          <w:rFonts w:ascii="Arial" w:hAnsi="Arial" w:cs="Arial"/>
          <w:sz w:val="20"/>
          <w:szCs w:val="20"/>
        </w:rPr>
        <w:t>tal matter contribution), CPF (c</w:t>
      </w:r>
      <w:r w:rsidRPr="00C9504C">
        <w:rPr>
          <w:rFonts w:ascii="Arial" w:hAnsi="Arial" w:cs="Arial"/>
          <w:sz w:val="20"/>
          <w:szCs w:val="20"/>
        </w:rPr>
        <w:t>onditional probability function), PSCF (</w:t>
      </w:r>
      <w:r>
        <w:rPr>
          <w:rFonts w:ascii="Arial" w:hAnsi="Arial" w:cs="Arial"/>
          <w:sz w:val="20"/>
          <w:szCs w:val="20"/>
        </w:rPr>
        <w:t>p</w:t>
      </w:r>
      <w:r w:rsidRPr="00C9504C">
        <w:rPr>
          <w:rFonts w:ascii="Arial" w:hAnsi="Arial" w:cs="Arial"/>
          <w:sz w:val="20"/>
          <w:szCs w:val="20"/>
        </w:rPr>
        <w:t>otential sour</w:t>
      </w:r>
      <w:r>
        <w:rPr>
          <w:rFonts w:ascii="Arial" w:hAnsi="Arial" w:cs="Arial"/>
          <w:sz w:val="20"/>
          <w:szCs w:val="20"/>
        </w:rPr>
        <w:t>ce contribution function), RE (r</w:t>
      </w:r>
      <w:r w:rsidRPr="00C9504C">
        <w:rPr>
          <w:rFonts w:ascii="Arial" w:hAnsi="Arial" w:cs="Arial"/>
          <w:sz w:val="20"/>
          <w:szCs w:val="20"/>
        </w:rPr>
        <w:t xml:space="preserve">oadside enrichment), UNMIX </w:t>
      </w:r>
      <w:r>
        <w:rPr>
          <w:rFonts w:ascii="Arial" w:hAnsi="Arial" w:cs="Arial"/>
          <w:sz w:val="20"/>
          <w:szCs w:val="20"/>
        </w:rPr>
        <w:t>(m</w:t>
      </w:r>
      <w:r w:rsidRPr="00C9504C">
        <w:rPr>
          <w:rFonts w:ascii="Arial" w:hAnsi="Arial" w:cs="Arial"/>
          <w:sz w:val="20"/>
          <w:szCs w:val="20"/>
        </w:rPr>
        <w:t xml:space="preserve">ultivariate receptor model </w:t>
      </w:r>
      <w:r>
        <w:rPr>
          <w:rFonts w:ascii="Arial" w:hAnsi="Arial" w:cs="Arial"/>
          <w:sz w:val="20"/>
          <w:szCs w:val="20"/>
        </w:rPr>
        <w:t>from the United States Environmental Protection Agency</w:t>
      </w:r>
      <w:r w:rsidRPr="00C9504C">
        <w:rPr>
          <w:rFonts w:ascii="Arial" w:hAnsi="Arial" w:cs="Arial"/>
          <w:sz w:val="20"/>
          <w:szCs w:val="20"/>
        </w:rPr>
        <w:t>), CWT (</w:t>
      </w:r>
      <w:r>
        <w:rPr>
          <w:rFonts w:ascii="Arial" w:hAnsi="Arial" w:cs="Arial"/>
          <w:sz w:val="20"/>
          <w:szCs w:val="20"/>
        </w:rPr>
        <w:t>c</w:t>
      </w:r>
      <w:r w:rsidRPr="00C9504C">
        <w:rPr>
          <w:rFonts w:ascii="Arial" w:hAnsi="Arial" w:cs="Arial"/>
          <w:sz w:val="20"/>
          <w:szCs w:val="20"/>
        </w:rPr>
        <w:t>oncentration weighted trajectory), SOM (</w:t>
      </w:r>
      <w:r>
        <w:rPr>
          <w:rFonts w:ascii="Arial" w:hAnsi="Arial" w:cs="Arial"/>
          <w:sz w:val="20"/>
          <w:szCs w:val="20"/>
        </w:rPr>
        <w:t>s</w:t>
      </w:r>
      <w:r w:rsidRPr="00C9504C">
        <w:rPr>
          <w:rFonts w:ascii="Arial" w:hAnsi="Arial" w:cs="Arial"/>
          <w:sz w:val="20"/>
          <w:szCs w:val="20"/>
        </w:rPr>
        <w:t>elf-organising maps</w:t>
      </w:r>
      <w:r>
        <w:rPr>
          <w:rFonts w:ascii="Arial" w:hAnsi="Arial" w:cs="Arial"/>
          <w:sz w:val="20"/>
          <w:szCs w:val="20"/>
        </w:rPr>
        <w:t>), WRF-Chem (w</w:t>
      </w:r>
      <w:r w:rsidRPr="00C9504C">
        <w:rPr>
          <w:rFonts w:ascii="Arial" w:hAnsi="Arial" w:cs="Arial"/>
          <w:sz w:val="20"/>
          <w:szCs w:val="20"/>
        </w:rPr>
        <w:t>eather research and forecast model with chemistry)</w:t>
      </w:r>
      <w:r>
        <w:rPr>
          <w:rFonts w:ascii="Arial" w:hAnsi="Arial" w:cs="Arial"/>
          <w:sz w:val="20"/>
          <w:szCs w:val="20"/>
        </w:rPr>
        <w:t>, BTA (b</w:t>
      </w:r>
      <w:r w:rsidRPr="00C9504C">
        <w:rPr>
          <w:rFonts w:ascii="Arial" w:hAnsi="Arial" w:cs="Arial"/>
          <w:sz w:val="20"/>
          <w:szCs w:val="20"/>
        </w:rPr>
        <w:t>ackward trajectory</w:t>
      </w:r>
      <w:r>
        <w:rPr>
          <w:rFonts w:ascii="Arial" w:hAnsi="Arial" w:cs="Arial"/>
          <w:sz w:val="20"/>
          <w:szCs w:val="20"/>
        </w:rPr>
        <w:t xml:space="preserve"> analysis), FA (f</w:t>
      </w:r>
      <w:r w:rsidRPr="00C9504C">
        <w:rPr>
          <w:rFonts w:ascii="Arial" w:hAnsi="Arial" w:cs="Arial"/>
          <w:sz w:val="20"/>
          <w:szCs w:val="20"/>
        </w:rPr>
        <w:t>actor analysis), LRM (</w:t>
      </w:r>
      <w:r>
        <w:rPr>
          <w:rFonts w:ascii="Arial" w:hAnsi="Arial" w:cs="Arial"/>
          <w:sz w:val="20"/>
          <w:szCs w:val="20"/>
        </w:rPr>
        <w:t>l</w:t>
      </w:r>
      <w:r w:rsidRPr="00C9504C">
        <w:rPr>
          <w:rFonts w:ascii="Arial" w:hAnsi="Arial" w:cs="Arial"/>
          <w:sz w:val="20"/>
          <w:szCs w:val="20"/>
        </w:rPr>
        <w:t>inear regression models)</w:t>
      </w:r>
      <w:r>
        <w:rPr>
          <w:rFonts w:ascii="Arial" w:hAnsi="Arial" w:cs="Arial"/>
          <w:sz w:val="20"/>
          <w:szCs w:val="20"/>
        </w:rPr>
        <w:t>, APCS (a</w:t>
      </w:r>
      <w:r w:rsidRPr="00C9504C">
        <w:rPr>
          <w:rFonts w:ascii="Arial" w:hAnsi="Arial" w:cs="Arial"/>
          <w:sz w:val="20"/>
          <w:szCs w:val="20"/>
        </w:rPr>
        <w:t>bsolute principal component score</w:t>
      </w:r>
      <w:r>
        <w:rPr>
          <w:rFonts w:ascii="Arial" w:hAnsi="Arial" w:cs="Arial"/>
          <w:sz w:val="20"/>
          <w:szCs w:val="20"/>
        </w:rPr>
        <w:t>), MRA (m</w:t>
      </w:r>
      <w:r w:rsidRPr="00C9504C">
        <w:rPr>
          <w:rFonts w:ascii="Arial" w:hAnsi="Arial" w:cs="Arial"/>
          <w:sz w:val="20"/>
          <w:szCs w:val="20"/>
        </w:rPr>
        <w:t xml:space="preserve">ultivariate regression analysis), </w:t>
      </w:r>
      <w:r>
        <w:rPr>
          <w:rFonts w:ascii="Arial" w:hAnsi="Arial" w:cs="Arial"/>
          <w:sz w:val="20"/>
          <w:szCs w:val="20"/>
        </w:rPr>
        <w:t>HCA (h</w:t>
      </w:r>
      <w:r w:rsidRPr="00C9504C">
        <w:rPr>
          <w:rFonts w:ascii="Arial" w:hAnsi="Arial" w:cs="Arial"/>
          <w:sz w:val="20"/>
          <w:szCs w:val="20"/>
        </w:rPr>
        <w:t>ierarchical cluster analysis), COD (</w:t>
      </w:r>
      <w:r>
        <w:rPr>
          <w:rFonts w:ascii="Arial" w:hAnsi="Arial" w:cs="Arial"/>
          <w:sz w:val="20"/>
          <w:szCs w:val="20"/>
        </w:rPr>
        <w:t>c</w:t>
      </w:r>
      <w:r w:rsidRPr="00C9504C">
        <w:rPr>
          <w:rFonts w:ascii="Arial" w:hAnsi="Arial" w:cs="Arial"/>
          <w:sz w:val="20"/>
          <w:szCs w:val="20"/>
        </w:rPr>
        <w:t xml:space="preserve">oefficient of divergence), </w:t>
      </w:r>
      <w:r w:rsidRPr="00AE1E24">
        <w:rPr>
          <w:rFonts w:ascii="Arial" w:hAnsi="Arial" w:cs="Arial"/>
          <w:sz w:val="20"/>
          <w:szCs w:val="20"/>
          <w:lang w:val="en-US"/>
        </w:rPr>
        <w:t xml:space="preserve">Calc. (calculations), Ref. (reference), RSD (relative standard deviation), Rec. (recovery), Prec. (precision), Acc. (accuracy), </w:t>
      </w:r>
      <w:proofErr w:type="spellStart"/>
      <w:r w:rsidRPr="00AE1E24">
        <w:rPr>
          <w:rFonts w:ascii="Arial" w:hAnsi="Arial" w:cs="Arial"/>
          <w:sz w:val="20"/>
          <w:szCs w:val="20"/>
          <w:lang w:val="en-US"/>
        </w:rPr>
        <w:t>Er</w:t>
      </w:r>
      <w:proofErr w:type="spellEnd"/>
      <w:r w:rsidRPr="00AE1E24">
        <w:rPr>
          <w:rFonts w:ascii="Arial" w:hAnsi="Arial" w:cs="Arial"/>
          <w:sz w:val="20"/>
          <w:szCs w:val="20"/>
          <w:lang w:val="en-US"/>
        </w:rPr>
        <w:t>. (error), R</w:t>
      </w:r>
      <w:r w:rsidRPr="000D0BA2">
        <w:rPr>
          <w:rFonts w:ascii="Arial" w:hAnsi="Arial" w:cs="Arial"/>
          <w:sz w:val="20"/>
          <w:szCs w:val="20"/>
          <w:vertAlign w:val="superscript"/>
          <w:lang w:val="en-US"/>
        </w:rPr>
        <w:t>2</w:t>
      </w:r>
      <w:r w:rsidRPr="000D0BA2">
        <w:rPr>
          <w:rFonts w:ascii="Arial" w:hAnsi="Arial" w:cs="Arial"/>
          <w:sz w:val="20"/>
          <w:szCs w:val="20"/>
          <w:lang w:val="en-US"/>
        </w:rPr>
        <w:t xml:space="preserve"> (coefficient of determination), </w:t>
      </w:r>
      <w:proofErr w:type="spellStart"/>
      <w:r w:rsidRPr="000D0BA2">
        <w:rPr>
          <w:rFonts w:ascii="Arial" w:hAnsi="Arial" w:cs="Arial"/>
          <w:sz w:val="20"/>
          <w:szCs w:val="20"/>
          <w:lang w:val="en-US"/>
        </w:rPr>
        <w:t>Unc</w:t>
      </w:r>
      <w:proofErr w:type="spellEnd"/>
      <w:r w:rsidRPr="000D0BA2">
        <w:rPr>
          <w:rFonts w:ascii="Arial" w:hAnsi="Arial" w:cs="Arial"/>
          <w:sz w:val="20"/>
          <w:szCs w:val="20"/>
          <w:lang w:val="en-US"/>
        </w:rPr>
        <w:t>. (uncertainty).</w:t>
      </w:r>
    </w:p>
    <w:p w14:paraId="56B0AD61" w14:textId="0C3F2BE5" w:rsidR="00C40736" w:rsidRDefault="00C40736" w:rsidP="00C9504C">
      <w:pPr>
        <w:spacing w:after="0" w:line="480" w:lineRule="auto"/>
      </w:pPr>
    </w:p>
    <w:p w14:paraId="6E83B533" w14:textId="505F3599" w:rsidR="00F62330" w:rsidRDefault="009F0DE0" w:rsidP="00C9504C">
      <w:pPr>
        <w:spacing w:after="0" w:line="480" w:lineRule="auto"/>
      </w:pPr>
      <w:r>
        <w:t>References</w:t>
      </w:r>
      <w:bookmarkStart w:id="0" w:name="_GoBack"/>
      <w:bookmarkEnd w:id="0"/>
    </w:p>
    <w:p w14:paraId="14B505A9" w14:textId="566B47F5" w:rsidR="00F62330" w:rsidRDefault="00F62330" w:rsidP="00C9504C">
      <w:pPr>
        <w:spacing w:after="0" w:line="480" w:lineRule="auto"/>
        <w:rPr>
          <w:color w:val="222222"/>
          <w:shd w:val="clear" w:color="auto" w:fill="F2F2F2"/>
        </w:rPr>
      </w:pPr>
      <w:proofErr w:type="gramStart"/>
      <w:r>
        <w:rPr>
          <w:color w:val="222222"/>
          <w:shd w:val="clear" w:color="auto" w:fill="F2F2F2"/>
        </w:rPr>
        <w:t>[24] R. Baalbaki, J. Nassar, S. Salloum, A.L. Shihadeh, I. Lakkis, N.A. Saliba, Comparison of atmospheric polycyclic aromatic hydrocarbon levels in three urban areas in Lebanon, Atmos. Environ.</w:t>
      </w:r>
      <w:proofErr w:type="gramEnd"/>
      <w:r>
        <w:rPr>
          <w:color w:val="222222"/>
          <w:shd w:val="clear" w:color="auto" w:fill="F2F2F2"/>
        </w:rPr>
        <w:t> 179 (2018 Apr 1) 260–267.</w:t>
      </w:r>
    </w:p>
    <w:p w14:paraId="6CB456BF" w14:textId="7FE21778" w:rsidR="009F605B" w:rsidRDefault="009F605B" w:rsidP="00C9504C">
      <w:pPr>
        <w:spacing w:after="0" w:line="480" w:lineRule="auto"/>
        <w:rPr>
          <w:color w:val="222222"/>
          <w:shd w:val="clear" w:color="auto" w:fill="F2F2F2"/>
        </w:rPr>
      </w:pPr>
      <w:r>
        <w:rPr>
          <w:color w:val="222222"/>
          <w:shd w:val="clear" w:color="auto" w:fill="F2F2F2"/>
        </w:rPr>
        <w:t xml:space="preserve">[30] A.H. El-Mubarak, A.I. Rushdi, K.F. Al-Mutlaq, A.Y. Bazeyad, S.L.M. Simonich, B.R.T. Simoneit, Identification and source apportionment of polycyclic aromatic hydrocarbons in ambient air particulate matter of Riyadh, Saudi Arabia, Environ. Sci. </w:t>
      </w:r>
      <w:proofErr w:type="spellStart"/>
      <w:r>
        <w:rPr>
          <w:color w:val="222222"/>
          <w:shd w:val="clear" w:color="auto" w:fill="F2F2F2"/>
        </w:rPr>
        <w:t>Pollut</w:t>
      </w:r>
      <w:proofErr w:type="spellEnd"/>
      <w:r>
        <w:rPr>
          <w:color w:val="222222"/>
          <w:shd w:val="clear" w:color="auto" w:fill="F2F2F2"/>
        </w:rPr>
        <w:t>. Res 21 (1) (2014 Jan 1) 558–567.</w:t>
      </w:r>
    </w:p>
    <w:p w14:paraId="1FAB6243" w14:textId="0E720B07" w:rsidR="009F605B" w:rsidRDefault="009F605B" w:rsidP="00C9504C">
      <w:pPr>
        <w:spacing w:after="0" w:line="480" w:lineRule="auto"/>
        <w:rPr>
          <w:color w:val="222222"/>
          <w:shd w:val="clear" w:color="auto" w:fill="F2F2F2"/>
        </w:rPr>
      </w:pPr>
      <w:r>
        <w:rPr>
          <w:color w:val="222222"/>
          <w:shd w:val="clear" w:color="auto" w:fill="F2F2F2"/>
        </w:rPr>
        <w:t>[34] B. Feng, L. Li, H. Xu, T. Wang, R. Wu, J. Chen, et al., PM2.5-bound polycyclic aromatic hydrocarbons (PAHs) in Beijing: Seasonal variations, sources, and risk assessment, J. Environ. Sci. 77 (2019 Mar 1) 11–19.</w:t>
      </w:r>
    </w:p>
    <w:p w14:paraId="481DBA73" w14:textId="73B2DDB8" w:rsidR="009F605B" w:rsidRDefault="009F605B" w:rsidP="00C9504C">
      <w:pPr>
        <w:spacing w:after="0" w:line="480" w:lineRule="auto"/>
        <w:rPr>
          <w:color w:val="222222"/>
          <w:shd w:val="clear" w:color="auto" w:fill="F2F2F2"/>
        </w:rPr>
      </w:pPr>
      <w:r>
        <w:rPr>
          <w:color w:val="222222"/>
          <w:shd w:val="clear" w:color="auto" w:fill="F2F2F2"/>
        </w:rPr>
        <w:lastRenderedPageBreak/>
        <w:t xml:space="preserve">[36] T. Grigoratos, C. Samara, D. Voutsa, E. Manoli, A. Kouras, Chemical composition and mass closure of ambient coarse particles at traffic and urban-background sites in Thessaloniki, Greece, Environ. Sci. </w:t>
      </w:r>
      <w:proofErr w:type="spellStart"/>
      <w:r>
        <w:rPr>
          <w:color w:val="222222"/>
          <w:shd w:val="clear" w:color="auto" w:fill="F2F2F2"/>
        </w:rPr>
        <w:t>Pollut</w:t>
      </w:r>
      <w:proofErr w:type="spellEnd"/>
      <w:r>
        <w:rPr>
          <w:color w:val="222222"/>
          <w:shd w:val="clear" w:color="auto" w:fill="F2F2F2"/>
        </w:rPr>
        <w:t>. Res 21 (12) (2014 Jun 1) 7708–7722.</w:t>
      </w:r>
    </w:p>
    <w:p w14:paraId="2FF0C199" w14:textId="5E169217" w:rsidR="009F605B" w:rsidRDefault="009F605B" w:rsidP="00C9504C">
      <w:pPr>
        <w:spacing w:after="0" w:line="480" w:lineRule="auto"/>
        <w:rPr>
          <w:color w:val="222222"/>
          <w:shd w:val="clear" w:color="auto" w:fill="FFFFFF"/>
        </w:rPr>
      </w:pPr>
      <w:r>
        <w:rPr>
          <w:color w:val="222222"/>
          <w:shd w:val="clear" w:color="auto" w:fill="FFFFFF"/>
        </w:rPr>
        <w:t xml:space="preserve">[44] Md.B. Khan, M. Masiol, C. Bruno, A. Pasqualetto, G.M. Formenton, C. Agostinelli, et al., Potential sources and meteorological factors affecting PM2.5-bound polycyclic aromatic hydrocarbon levels in six main cities of </w:t>
      </w:r>
      <w:proofErr w:type="spellStart"/>
      <w:r>
        <w:rPr>
          <w:color w:val="222222"/>
          <w:shd w:val="clear" w:color="auto" w:fill="FFFFFF"/>
        </w:rPr>
        <w:t>northeastern</w:t>
      </w:r>
      <w:proofErr w:type="spellEnd"/>
      <w:r>
        <w:rPr>
          <w:color w:val="222222"/>
          <w:shd w:val="clear" w:color="auto" w:fill="FFFFFF"/>
        </w:rPr>
        <w:t xml:space="preserve"> Italy: an assessment of the related carcinogenic and mutagenic risks, Environ. Sci. </w:t>
      </w:r>
      <w:proofErr w:type="spellStart"/>
      <w:r>
        <w:rPr>
          <w:color w:val="222222"/>
          <w:shd w:val="clear" w:color="auto" w:fill="FFFFFF"/>
        </w:rPr>
        <w:t>Pollut</w:t>
      </w:r>
      <w:proofErr w:type="spellEnd"/>
      <w:r>
        <w:rPr>
          <w:color w:val="222222"/>
          <w:shd w:val="clear" w:color="auto" w:fill="FFFFFF"/>
        </w:rPr>
        <w:t>. Res 25 (32) (2018 Nov 1) 31987–32000.</w:t>
      </w:r>
    </w:p>
    <w:p w14:paraId="22EF6DF3" w14:textId="3AFB4DCC" w:rsidR="009F605B" w:rsidRDefault="009F605B" w:rsidP="00C9504C">
      <w:pPr>
        <w:spacing w:after="0" w:line="480" w:lineRule="auto"/>
        <w:rPr>
          <w:color w:val="222222"/>
          <w:shd w:val="clear" w:color="auto" w:fill="FFFFFF"/>
        </w:rPr>
      </w:pPr>
      <w:r>
        <w:rPr>
          <w:color w:val="222222"/>
          <w:shd w:val="clear" w:color="auto" w:fill="FFFFFF"/>
        </w:rPr>
        <w:t>[49] F. Li, G. Zhang, Y. </w:t>
      </w:r>
      <w:proofErr w:type="spellStart"/>
      <w:r>
        <w:rPr>
          <w:color w:val="222222"/>
          <w:shd w:val="clear" w:color="auto" w:fill="FFFFFF"/>
        </w:rPr>
        <w:t>Jinxu</w:t>
      </w:r>
      <w:proofErr w:type="spellEnd"/>
      <w:r>
        <w:rPr>
          <w:color w:val="222222"/>
          <w:shd w:val="clear" w:color="auto" w:fill="FFFFFF"/>
        </w:rPr>
        <w:t xml:space="preserve">, T. Ding, C.Q. Liu, Y. Lang, et al., Comprehensive source identification of heavy metals in atmospheric particulate matter in a megacity: a case study of Hangzhou, J. Environ. </w:t>
      </w:r>
      <w:proofErr w:type="spellStart"/>
      <w:r>
        <w:rPr>
          <w:color w:val="222222"/>
          <w:shd w:val="clear" w:color="auto" w:fill="FFFFFF"/>
        </w:rPr>
        <w:t>Manag</w:t>
      </w:r>
      <w:proofErr w:type="spellEnd"/>
      <w:r>
        <w:rPr>
          <w:color w:val="222222"/>
          <w:shd w:val="clear" w:color="auto" w:fill="FFFFFF"/>
        </w:rPr>
        <w:t> 366 (2024 Aug 1) 121747.</w:t>
      </w:r>
    </w:p>
    <w:p w14:paraId="55E4524A" w14:textId="5787F2F4" w:rsidR="009F605B" w:rsidRDefault="009F605B" w:rsidP="00C9504C">
      <w:pPr>
        <w:spacing w:after="0" w:line="480" w:lineRule="auto"/>
        <w:rPr>
          <w:color w:val="222222"/>
          <w:shd w:val="clear" w:color="auto" w:fill="FFFFFF"/>
        </w:rPr>
      </w:pPr>
      <w:r>
        <w:rPr>
          <w:color w:val="222222"/>
          <w:shd w:val="clear" w:color="auto" w:fill="FFFFFF"/>
        </w:rPr>
        <w:t>[50] R.J. Li, X.J. Kou, H. </w:t>
      </w:r>
      <w:proofErr w:type="spellStart"/>
      <w:r>
        <w:rPr>
          <w:color w:val="222222"/>
          <w:shd w:val="clear" w:color="auto" w:fill="FFFFFF"/>
        </w:rPr>
        <w:t>Geng</w:t>
      </w:r>
      <w:proofErr w:type="spellEnd"/>
      <w:r>
        <w:rPr>
          <w:color w:val="222222"/>
          <w:shd w:val="clear" w:color="auto" w:fill="FFFFFF"/>
        </w:rPr>
        <w:t>, C. Dong, Z.W. </w:t>
      </w:r>
      <w:proofErr w:type="spellStart"/>
      <w:r>
        <w:rPr>
          <w:color w:val="222222"/>
          <w:shd w:val="clear" w:color="auto" w:fill="FFFFFF"/>
        </w:rPr>
        <w:t>Cai</w:t>
      </w:r>
      <w:proofErr w:type="spellEnd"/>
      <w:r>
        <w:rPr>
          <w:color w:val="222222"/>
          <w:shd w:val="clear" w:color="auto" w:fill="FFFFFF"/>
        </w:rPr>
        <w:t>, Pollution characteristics of ambient PM2.5-bound PAHs and NPAHs in a typical winter time period in Taiyuan, Chin. Chem. Lett. 25 (5) (2014 May 1) 663–666.</w:t>
      </w:r>
    </w:p>
    <w:p w14:paraId="15806F86" w14:textId="2655E19B" w:rsidR="009F605B" w:rsidRDefault="009F605B" w:rsidP="00C9504C">
      <w:pPr>
        <w:spacing w:after="0" w:line="480" w:lineRule="auto"/>
        <w:rPr>
          <w:color w:val="222222"/>
          <w:shd w:val="clear" w:color="auto" w:fill="F2F2F2"/>
        </w:rPr>
      </w:pPr>
      <w:r>
        <w:rPr>
          <w:color w:val="222222"/>
          <w:shd w:val="clear" w:color="auto" w:fill="F2F2F2"/>
        </w:rPr>
        <w:t>[53] X. Liu, Y. </w:t>
      </w:r>
      <w:proofErr w:type="spellStart"/>
      <w:r>
        <w:rPr>
          <w:color w:val="222222"/>
          <w:shd w:val="clear" w:color="auto" w:fill="F2F2F2"/>
        </w:rPr>
        <w:t>Zhai</w:t>
      </w:r>
      <w:proofErr w:type="spellEnd"/>
      <w:r>
        <w:rPr>
          <w:color w:val="222222"/>
          <w:shd w:val="clear" w:color="auto" w:fill="F2F2F2"/>
        </w:rPr>
        <w:t>, Y. Zhu, Y. Liu, H. Chen, P. Li, et al., Mass concentration and health risk assessment of heavy metals in size-segregated airborne particulate matter in Changsha, Sci. Total Environ. 517 (2015 Jun 1) 215–221.</w:t>
      </w:r>
    </w:p>
    <w:p w14:paraId="47BCBB45" w14:textId="37EABF34" w:rsidR="009F605B" w:rsidRDefault="009F605B" w:rsidP="00C9504C">
      <w:pPr>
        <w:spacing w:after="0" w:line="480" w:lineRule="auto"/>
        <w:rPr>
          <w:color w:val="222222"/>
          <w:shd w:val="clear" w:color="auto" w:fill="F2F2F2"/>
        </w:rPr>
      </w:pPr>
      <w:r>
        <w:rPr>
          <w:color w:val="222222"/>
          <w:shd w:val="clear" w:color="auto" w:fill="F2F2F2"/>
        </w:rPr>
        <w:t>[55] W. Lu, L. Yang, J. Chen, X. Wang, H. Li, Y. Zhu, et al., Identification of concentrations and sources of PM2.5-bound PAHs in North China during haze episodes in 2013, Air Qual. Atmos. Health 9 (7) (2016 Nov 1) 823–833.</w:t>
      </w:r>
    </w:p>
    <w:p w14:paraId="43B5EDF4" w14:textId="032BDD3E" w:rsidR="009F605B" w:rsidRDefault="009F605B" w:rsidP="00C9504C">
      <w:pPr>
        <w:spacing w:after="0" w:line="480" w:lineRule="auto"/>
        <w:rPr>
          <w:color w:val="222222"/>
          <w:shd w:val="clear" w:color="auto" w:fill="FFFFFF"/>
        </w:rPr>
      </w:pPr>
      <w:r>
        <w:rPr>
          <w:color w:val="222222"/>
          <w:shd w:val="clear" w:color="auto" w:fill="FFFFFF"/>
        </w:rPr>
        <w:t>[61] S. </w:t>
      </w:r>
      <w:proofErr w:type="spellStart"/>
      <w:r>
        <w:rPr>
          <w:color w:val="222222"/>
          <w:shd w:val="clear" w:color="auto" w:fill="FFFFFF"/>
        </w:rPr>
        <w:t>Mbengue</w:t>
      </w:r>
      <w:proofErr w:type="spellEnd"/>
      <w:r>
        <w:rPr>
          <w:color w:val="222222"/>
          <w:shd w:val="clear" w:color="auto" w:fill="FFFFFF"/>
        </w:rPr>
        <w:t>, L.Y. </w:t>
      </w:r>
      <w:proofErr w:type="spellStart"/>
      <w:r>
        <w:rPr>
          <w:color w:val="222222"/>
          <w:shd w:val="clear" w:color="auto" w:fill="FFFFFF"/>
        </w:rPr>
        <w:t>Alleman</w:t>
      </w:r>
      <w:proofErr w:type="spellEnd"/>
      <w:r>
        <w:rPr>
          <w:color w:val="222222"/>
          <w:shd w:val="clear" w:color="auto" w:fill="FFFFFF"/>
        </w:rPr>
        <w:t>, P. </w:t>
      </w:r>
      <w:proofErr w:type="spellStart"/>
      <w:r>
        <w:rPr>
          <w:color w:val="222222"/>
          <w:shd w:val="clear" w:color="auto" w:fill="FFFFFF"/>
        </w:rPr>
        <w:t>Flament</w:t>
      </w:r>
      <w:proofErr w:type="spellEnd"/>
      <w:r>
        <w:rPr>
          <w:color w:val="222222"/>
          <w:shd w:val="clear" w:color="auto" w:fill="FFFFFF"/>
        </w:rPr>
        <w:t>, Size-distributed metallic elements in submicronic and ultrafine atmospheric particles from urban and industrial areas in northern France, Atmos. Res 135–136 (2014 Jan 1) 35–47.</w:t>
      </w:r>
    </w:p>
    <w:p w14:paraId="44D3414F" w14:textId="16694FBE" w:rsidR="009F605B" w:rsidRDefault="009F605B" w:rsidP="00C9504C">
      <w:pPr>
        <w:spacing w:after="0" w:line="480" w:lineRule="auto"/>
        <w:rPr>
          <w:color w:val="222222"/>
          <w:shd w:val="clear" w:color="auto" w:fill="FFFFFF"/>
        </w:rPr>
      </w:pPr>
      <w:r>
        <w:rPr>
          <w:color w:val="222222"/>
          <w:shd w:val="clear" w:color="auto" w:fill="FFFFFF"/>
        </w:rPr>
        <w:t xml:space="preserve">[62] L. Megido, L. Negral, L. Castrillón, E. Marañón, Y. Fernández-Nava, B. Suárez-Peña, Traffic tracers in a suburban location in northern Spain: relationship between carbonaceous fraction and metals, Environ. Sci. </w:t>
      </w:r>
      <w:proofErr w:type="spellStart"/>
      <w:r>
        <w:rPr>
          <w:color w:val="222222"/>
          <w:shd w:val="clear" w:color="auto" w:fill="FFFFFF"/>
        </w:rPr>
        <w:t>Pollut</w:t>
      </w:r>
      <w:proofErr w:type="spellEnd"/>
      <w:r>
        <w:rPr>
          <w:color w:val="222222"/>
          <w:shd w:val="clear" w:color="auto" w:fill="FFFFFF"/>
        </w:rPr>
        <w:t>. Res 23 (9) (2016 May 1) 8669–8678.</w:t>
      </w:r>
    </w:p>
    <w:p w14:paraId="6124EB1D" w14:textId="36BFD240" w:rsidR="009F605B" w:rsidRDefault="009F605B" w:rsidP="00C9504C">
      <w:pPr>
        <w:spacing w:after="0" w:line="480" w:lineRule="auto"/>
        <w:rPr>
          <w:color w:val="222222"/>
          <w:shd w:val="clear" w:color="auto" w:fill="FFFFFF"/>
        </w:rPr>
      </w:pPr>
      <w:r>
        <w:rPr>
          <w:color w:val="222222"/>
          <w:shd w:val="clear" w:color="auto" w:fill="FFFFFF"/>
        </w:rPr>
        <w:lastRenderedPageBreak/>
        <w:t>[65] F. </w:t>
      </w:r>
      <w:proofErr w:type="spellStart"/>
      <w:r>
        <w:rPr>
          <w:color w:val="222222"/>
          <w:shd w:val="clear" w:color="auto" w:fill="FFFFFF"/>
        </w:rPr>
        <w:t>Oroumiyeh</w:t>
      </w:r>
      <w:proofErr w:type="spellEnd"/>
      <w:r>
        <w:rPr>
          <w:color w:val="222222"/>
          <w:shd w:val="clear" w:color="auto" w:fill="FFFFFF"/>
        </w:rPr>
        <w:t>, M. </w:t>
      </w:r>
      <w:proofErr w:type="spellStart"/>
      <w:r>
        <w:rPr>
          <w:color w:val="222222"/>
          <w:shd w:val="clear" w:color="auto" w:fill="FFFFFF"/>
        </w:rPr>
        <w:t>Jerrett</w:t>
      </w:r>
      <w:proofErr w:type="spellEnd"/>
      <w:r>
        <w:rPr>
          <w:color w:val="222222"/>
          <w:shd w:val="clear" w:color="auto" w:fill="FFFFFF"/>
        </w:rPr>
        <w:t>, I. Del Rosario, J. </w:t>
      </w:r>
      <w:proofErr w:type="spellStart"/>
      <w:r>
        <w:rPr>
          <w:color w:val="222222"/>
          <w:shd w:val="clear" w:color="auto" w:fill="FFFFFF"/>
        </w:rPr>
        <w:t>Lipsitt</w:t>
      </w:r>
      <w:proofErr w:type="spellEnd"/>
      <w:r>
        <w:rPr>
          <w:color w:val="222222"/>
          <w:shd w:val="clear" w:color="auto" w:fill="FFFFFF"/>
        </w:rPr>
        <w:t xml:space="preserve">, J. Liu, S.E. Paulson, et al., Elemental composition of fine and coarse particles across the greater Los Angeles area: spatial variation and contributing sources, Environ. </w:t>
      </w:r>
      <w:proofErr w:type="spellStart"/>
      <w:r>
        <w:rPr>
          <w:color w:val="222222"/>
          <w:shd w:val="clear" w:color="auto" w:fill="FFFFFF"/>
        </w:rPr>
        <w:t>Pollut</w:t>
      </w:r>
      <w:proofErr w:type="spellEnd"/>
      <w:r>
        <w:rPr>
          <w:color w:val="222222"/>
          <w:shd w:val="clear" w:color="auto" w:fill="FFFFFF"/>
        </w:rPr>
        <w:t>. 292 (2022 Jan 1) 118356.</w:t>
      </w:r>
    </w:p>
    <w:p w14:paraId="75B49410" w14:textId="0C44D9D4" w:rsidR="009F605B" w:rsidRDefault="009F605B" w:rsidP="00C9504C">
      <w:pPr>
        <w:spacing w:after="0" w:line="480" w:lineRule="auto"/>
        <w:rPr>
          <w:color w:val="222222"/>
          <w:shd w:val="clear" w:color="auto" w:fill="FFFFFF"/>
        </w:rPr>
      </w:pPr>
      <w:r>
        <w:rPr>
          <w:color w:val="222222"/>
          <w:shd w:val="clear" w:color="auto" w:fill="FFFFFF"/>
        </w:rPr>
        <w:t xml:space="preserve">[68] M. Patil, A.S. Jadhav, S.K. Singh, S. Ingle, Urban ambient PM10 analysis: characterization, sources, health risk and sustainable solutions, Environ. Chem. </w:t>
      </w:r>
      <w:proofErr w:type="spellStart"/>
      <w:r>
        <w:rPr>
          <w:color w:val="222222"/>
          <w:shd w:val="clear" w:color="auto" w:fill="FFFFFF"/>
        </w:rPr>
        <w:t>Ecotoxicol</w:t>
      </w:r>
      <w:proofErr w:type="spellEnd"/>
      <w:r>
        <w:rPr>
          <w:color w:val="222222"/>
          <w:shd w:val="clear" w:color="auto" w:fill="FFFFFF"/>
        </w:rPr>
        <w:t>. 6 (2024 Jan 1) 192–205.</w:t>
      </w:r>
    </w:p>
    <w:p w14:paraId="486555E2" w14:textId="7E70A33F" w:rsidR="009F605B" w:rsidRDefault="009F605B" w:rsidP="00C9504C">
      <w:pPr>
        <w:spacing w:after="0" w:line="480" w:lineRule="auto"/>
        <w:rPr>
          <w:color w:val="222222"/>
          <w:shd w:val="clear" w:color="auto" w:fill="FFFFFF"/>
        </w:rPr>
      </w:pPr>
      <w:r>
        <w:rPr>
          <w:color w:val="222222"/>
          <w:shd w:val="clear" w:color="auto" w:fill="FFFFFF"/>
        </w:rPr>
        <w:t xml:space="preserve">[73] G.L. Shi, X.Y. Zhou, S.Y. Jiang, Y.Z. Tian, G.R. Liu, Y.C. Feng, et al., Further insights into the composition, source, and toxicity of PAHs in size-resolved particulate matter in a megacity in China, Environ. </w:t>
      </w:r>
      <w:proofErr w:type="spellStart"/>
      <w:r>
        <w:rPr>
          <w:color w:val="222222"/>
          <w:shd w:val="clear" w:color="auto" w:fill="FFFFFF"/>
        </w:rPr>
        <w:t>Toxicol</w:t>
      </w:r>
      <w:proofErr w:type="spellEnd"/>
      <w:r>
        <w:rPr>
          <w:color w:val="222222"/>
          <w:shd w:val="clear" w:color="auto" w:fill="FFFFFF"/>
        </w:rPr>
        <w:t>. Chem. 34 (3) (2015) 480–487.</w:t>
      </w:r>
    </w:p>
    <w:p w14:paraId="4233A9F6" w14:textId="203358F2" w:rsidR="009F605B" w:rsidRDefault="009F605B" w:rsidP="00C9504C">
      <w:pPr>
        <w:spacing w:after="0" w:line="480" w:lineRule="auto"/>
        <w:rPr>
          <w:color w:val="222222"/>
          <w:shd w:val="clear" w:color="auto" w:fill="FFFFFF"/>
        </w:rPr>
      </w:pPr>
      <w:r>
        <w:rPr>
          <w:color w:val="222222"/>
          <w:shd w:val="clear" w:color="auto" w:fill="FFFFFF"/>
        </w:rPr>
        <w:t>[75] M. Soleimani, N. </w:t>
      </w:r>
      <w:proofErr w:type="spellStart"/>
      <w:r>
        <w:rPr>
          <w:color w:val="222222"/>
          <w:shd w:val="clear" w:color="auto" w:fill="FFFFFF"/>
        </w:rPr>
        <w:t>Amini</w:t>
      </w:r>
      <w:proofErr w:type="spellEnd"/>
      <w:r>
        <w:rPr>
          <w:color w:val="222222"/>
          <w:shd w:val="clear" w:color="auto" w:fill="FFFFFF"/>
        </w:rPr>
        <w:t>, B. </w:t>
      </w:r>
      <w:proofErr w:type="spellStart"/>
      <w:r>
        <w:rPr>
          <w:color w:val="222222"/>
          <w:shd w:val="clear" w:color="auto" w:fill="FFFFFF"/>
        </w:rPr>
        <w:t>Sadeghian</w:t>
      </w:r>
      <w:proofErr w:type="spellEnd"/>
      <w:r>
        <w:rPr>
          <w:color w:val="222222"/>
          <w:shd w:val="clear" w:color="auto" w:fill="FFFFFF"/>
        </w:rPr>
        <w:t>, D. Wang, L. Fang, Heavy metals and their source identification in particulate matter (PM2.5) in Isfahan City, Iran, J. Environ. Sci. 72 (2018 Oct 1) 166–175</w:t>
      </w:r>
      <w:r w:rsidR="00164320">
        <w:rPr>
          <w:color w:val="222222"/>
          <w:shd w:val="clear" w:color="auto" w:fill="FFFFFF"/>
        </w:rPr>
        <w:t>30</w:t>
      </w:r>
    </w:p>
    <w:p w14:paraId="50D0E350" w14:textId="45C3B339" w:rsidR="009F605B" w:rsidRDefault="009F605B" w:rsidP="00C9504C">
      <w:pPr>
        <w:spacing w:after="0" w:line="480" w:lineRule="auto"/>
        <w:rPr>
          <w:color w:val="222222"/>
          <w:shd w:val="clear" w:color="auto" w:fill="FFFFFF"/>
        </w:rPr>
      </w:pPr>
      <w:r>
        <w:rPr>
          <w:color w:val="222222"/>
          <w:shd w:val="clear" w:color="auto" w:fill="FFFFFF"/>
        </w:rPr>
        <w:t>[82] J. Wang, S.S.H. Ho, S. Ma, J. Cao, W. Dai, S. Liu, et al., Characterization of PM2.5 in Guangzhou, China: uses of organic markers for supporting source apportionment, Sci. Total Environ. 550 (2016 Apr 15) 961–971.</w:t>
      </w:r>
    </w:p>
    <w:p w14:paraId="7FBF70CA" w14:textId="3A4E9D33" w:rsidR="009F605B" w:rsidRDefault="009F605B" w:rsidP="00C9504C">
      <w:pPr>
        <w:spacing w:after="0" w:line="480" w:lineRule="auto"/>
        <w:rPr>
          <w:color w:val="222222"/>
          <w:shd w:val="clear" w:color="auto" w:fill="FFFFFF"/>
        </w:rPr>
      </w:pPr>
      <w:r>
        <w:rPr>
          <w:color w:val="222222"/>
          <w:shd w:val="clear" w:color="auto" w:fill="FFFFFF"/>
        </w:rPr>
        <w:t>[84] J. Wang, J. Cao, Z. Dong, B. </w:t>
      </w:r>
      <w:proofErr w:type="spellStart"/>
      <w:r>
        <w:rPr>
          <w:color w:val="222222"/>
          <w:shd w:val="clear" w:color="auto" w:fill="FFFFFF"/>
        </w:rPr>
        <w:t>Guinot</w:t>
      </w:r>
      <w:proofErr w:type="spellEnd"/>
      <w:r>
        <w:rPr>
          <w:color w:val="222222"/>
          <w:shd w:val="clear" w:color="auto" w:fill="FFFFFF"/>
        </w:rPr>
        <w:t xml:space="preserve">, M. Gao, R. Huang, et al., Seasonal variation, spatial distribution and source apportionment for polycyclic aromatic hydrocarbons (PAHs) at nineteen communities in Xi’an, China: the effects of suburban scattered emissions in winter, Environ. </w:t>
      </w:r>
      <w:proofErr w:type="spellStart"/>
      <w:r>
        <w:rPr>
          <w:color w:val="222222"/>
          <w:shd w:val="clear" w:color="auto" w:fill="FFFFFF"/>
        </w:rPr>
        <w:t>Pollut</w:t>
      </w:r>
      <w:proofErr w:type="spellEnd"/>
      <w:r>
        <w:rPr>
          <w:color w:val="222222"/>
          <w:shd w:val="clear" w:color="auto" w:fill="FFFFFF"/>
        </w:rPr>
        <w:t>. 231 (2017 Dec) 1330–1343.</w:t>
      </w:r>
    </w:p>
    <w:p w14:paraId="74F1826B" w14:textId="42EF454B" w:rsidR="009F605B" w:rsidRDefault="009F605B" w:rsidP="00C9504C">
      <w:pPr>
        <w:spacing w:after="0" w:line="480" w:lineRule="auto"/>
        <w:rPr>
          <w:color w:val="222222"/>
          <w:shd w:val="clear" w:color="auto" w:fill="FFFFFF"/>
        </w:rPr>
      </w:pPr>
      <w:r>
        <w:rPr>
          <w:color w:val="222222"/>
          <w:shd w:val="clear" w:color="auto" w:fill="FFFFFF"/>
        </w:rPr>
        <w:t>[86] H. Xu, S.S.H. Ho, M. Gao, J. Cao, B. </w:t>
      </w:r>
      <w:proofErr w:type="spellStart"/>
      <w:r>
        <w:rPr>
          <w:color w:val="222222"/>
          <w:shd w:val="clear" w:color="auto" w:fill="FFFFFF"/>
        </w:rPr>
        <w:t>Guinot</w:t>
      </w:r>
      <w:proofErr w:type="spellEnd"/>
      <w:r>
        <w:rPr>
          <w:color w:val="222222"/>
          <w:shd w:val="clear" w:color="auto" w:fill="FFFFFF"/>
        </w:rPr>
        <w:t>, K.F. </w:t>
      </w:r>
      <w:proofErr w:type="spellStart"/>
      <w:r>
        <w:rPr>
          <w:color w:val="222222"/>
          <w:shd w:val="clear" w:color="auto" w:fill="FFFFFF"/>
        </w:rPr>
        <w:t>Ho</w:t>
      </w:r>
      <w:proofErr w:type="spellEnd"/>
      <w:r>
        <w:rPr>
          <w:color w:val="222222"/>
          <w:shd w:val="clear" w:color="auto" w:fill="FFFFFF"/>
        </w:rPr>
        <w:t xml:space="preserve">, et al., Microscale spatial distribution and health assessment of PM2.5-bound polycyclic aromatic hydrocarbons (PAHs) at nine communities in Xi’an, China, Environ. </w:t>
      </w:r>
      <w:proofErr w:type="spellStart"/>
      <w:r>
        <w:rPr>
          <w:color w:val="222222"/>
          <w:shd w:val="clear" w:color="auto" w:fill="FFFFFF"/>
        </w:rPr>
        <w:t>Pollut</w:t>
      </w:r>
      <w:proofErr w:type="spellEnd"/>
      <w:r>
        <w:rPr>
          <w:color w:val="222222"/>
          <w:shd w:val="clear" w:color="auto" w:fill="FFFFFF"/>
        </w:rPr>
        <w:t>. 218 (2016 Nov 1) 1065–1073.</w:t>
      </w:r>
    </w:p>
    <w:p w14:paraId="70422217" w14:textId="52874493" w:rsidR="009F605B" w:rsidRDefault="009F605B" w:rsidP="00C9504C">
      <w:pPr>
        <w:spacing w:after="0" w:line="480" w:lineRule="auto"/>
        <w:rPr>
          <w:color w:val="222222"/>
          <w:shd w:val="clear" w:color="auto" w:fill="FFFFFF"/>
        </w:rPr>
      </w:pPr>
      <w:r>
        <w:rPr>
          <w:color w:val="222222"/>
          <w:shd w:val="clear" w:color="auto" w:fill="FFFFFF"/>
        </w:rPr>
        <w:t>[87] H. </w:t>
      </w:r>
      <w:proofErr w:type="spellStart"/>
      <w:r>
        <w:rPr>
          <w:color w:val="222222"/>
          <w:shd w:val="clear" w:color="auto" w:fill="FFFFFF"/>
        </w:rPr>
        <w:t>Xue</w:t>
      </w:r>
      <w:proofErr w:type="spellEnd"/>
      <w:r>
        <w:rPr>
          <w:color w:val="222222"/>
          <w:shd w:val="clear" w:color="auto" w:fill="FFFFFF"/>
        </w:rPr>
        <w:t>, G. Liu, H. Zhang, R. Hu, X. Wang, Similarities and differences in PM10 and PM2.5 concentrations, chemical compositions and sources in Hefei City, China, Chemosphere 220 (2019 Apr 1) 760–765.</w:t>
      </w:r>
      <w:r w:rsidR="001A2F21">
        <w:rPr>
          <w:color w:val="222222"/>
          <w:shd w:val="clear" w:color="auto" w:fill="FFFFFF"/>
        </w:rPr>
        <w:t>s</w:t>
      </w:r>
    </w:p>
    <w:p w14:paraId="3EFB7D27" w14:textId="72869618" w:rsidR="009F605B" w:rsidRDefault="009F605B" w:rsidP="00C9504C">
      <w:pPr>
        <w:spacing w:after="0" w:line="480" w:lineRule="auto"/>
        <w:rPr>
          <w:color w:val="222222"/>
          <w:shd w:val="clear" w:color="auto" w:fill="FFFFFF"/>
        </w:rPr>
      </w:pPr>
      <w:r>
        <w:rPr>
          <w:color w:val="222222"/>
          <w:shd w:val="clear" w:color="auto" w:fill="FFFFFF"/>
        </w:rPr>
        <w:lastRenderedPageBreak/>
        <w:t>[89] Q. Yu, X. Ding, Q. He, W. Yang, M. Zhu, S. Li, et al., Nationwide increase of polycyclic aromatic hydrocarbons in ultrafine particles during winter over China revealed by size-segregated measurements, Atmos. Chem. Phys. 20 (23) (2020 Dec 1) 14581–14595.</w:t>
      </w:r>
    </w:p>
    <w:p w14:paraId="3038FA26" w14:textId="3E57898B" w:rsidR="009F605B" w:rsidRDefault="009F605B" w:rsidP="00C9504C">
      <w:pPr>
        <w:spacing w:after="0" w:line="480" w:lineRule="auto"/>
        <w:rPr>
          <w:color w:val="222222"/>
          <w:shd w:val="clear" w:color="auto" w:fill="F2F2F2"/>
        </w:rPr>
      </w:pPr>
      <w:r>
        <w:rPr>
          <w:color w:val="222222"/>
          <w:shd w:val="clear" w:color="auto" w:fill="F2F2F2"/>
        </w:rPr>
        <w:t>[90] N. Zhang, M.W. Maung, S. Wang, E. Aruffo, J. Feng, Characterization and health risk assessment of PM2.5-bound polycyclic aromatic hydrocarbons in Yangon and Mandalay of Myanmar, Sci. Total Environ. 914 (2024 Mar 1) 170034.</w:t>
      </w:r>
    </w:p>
    <w:p w14:paraId="3F4465B3" w14:textId="6493EDEC" w:rsidR="009F605B" w:rsidRDefault="009F605B" w:rsidP="00C9504C">
      <w:pPr>
        <w:spacing w:after="0" w:line="480" w:lineRule="auto"/>
        <w:rPr>
          <w:color w:val="222222"/>
          <w:shd w:val="clear" w:color="auto" w:fill="FFFFFF"/>
        </w:rPr>
      </w:pPr>
      <w:r>
        <w:rPr>
          <w:color w:val="222222"/>
          <w:shd w:val="clear" w:color="auto" w:fill="FFFFFF"/>
        </w:rPr>
        <w:t>[91] J. Zhang, Y. Su, C. Chen, W. </w:t>
      </w:r>
      <w:proofErr w:type="spellStart"/>
      <w:r>
        <w:rPr>
          <w:color w:val="222222"/>
          <w:shd w:val="clear" w:color="auto" w:fill="FFFFFF"/>
        </w:rPr>
        <w:t>Guo</w:t>
      </w:r>
      <w:proofErr w:type="spellEnd"/>
      <w:r>
        <w:rPr>
          <w:color w:val="222222"/>
          <w:shd w:val="clear" w:color="auto" w:fill="FFFFFF"/>
        </w:rPr>
        <w:t>, Q. Tan, M. Feng, et al., Chemical composition, sources and formation mechanism of urban PM</w:t>
      </w:r>
      <w:r>
        <w:rPr>
          <w:color w:val="222222"/>
          <w:sz w:val="18"/>
          <w:szCs w:val="18"/>
          <w:shd w:val="clear" w:color="auto" w:fill="FFFFFF"/>
          <w:vertAlign w:val="subscript"/>
        </w:rPr>
        <w:t>2.5</w:t>
      </w:r>
      <w:r>
        <w:rPr>
          <w:color w:val="222222"/>
          <w:shd w:val="clear" w:color="auto" w:fill="FFFFFF"/>
        </w:rPr>
        <w:t> in Southwest China: a case study at the beginning of 2023, Atmos. Chem. Phys. 24 (5) (2024 Mar 4) 2803–2820.</w:t>
      </w:r>
    </w:p>
    <w:p w14:paraId="1A1B5BBE" w14:textId="51A7A2A4" w:rsidR="009F605B" w:rsidRDefault="009F605B" w:rsidP="00C9504C">
      <w:pPr>
        <w:spacing w:after="0" w:line="480" w:lineRule="auto"/>
        <w:rPr>
          <w:color w:val="222222"/>
          <w:shd w:val="clear" w:color="auto" w:fill="FFFFFF"/>
        </w:rPr>
      </w:pPr>
      <w:r>
        <w:rPr>
          <w:color w:val="222222"/>
          <w:shd w:val="clear" w:color="auto" w:fill="FFFFFF"/>
        </w:rPr>
        <w:t>[93] J. Zhang, L. Yang, A. </w:t>
      </w:r>
      <w:proofErr w:type="spellStart"/>
      <w:r>
        <w:rPr>
          <w:color w:val="222222"/>
          <w:shd w:val="clear" w:color="auto" w:fill="FFFFFF"/>
        </w:rPr>
        <w:t>Mellouki</w:t>
      </w:r>
      <w:proofErr w:type="spellEnd"/>
      <w:r>
        <w:rPr>
          <w:color w:val="222222"/>
          <w:shd w:val="clear" w:color="auto" w:fill="FFFFFF"/>
        </w:rPr>
        <w:t>, J. Chen, X. Chen, Y. Gao, et al., Diurnal concentrations, sources, and cancer risk assessments of PM2.5-bound PAHs, NPAHs, and OPAHs in urban, marine and mountain environments, Chemosphere 209 (2018 Oct 1) 147–155.</w:t>
      </w:r>
    </w:p>
    <w:p w14:paraId="605629F1" w14:textId="77777777" w:rsidR="009F605B" w:rsidRDefault="009F605B" w:rsidP="00C9504C">
      <w:pPr>
        <w:spacing w:after="0" w:line="480" w:lineRule="auto"/>
        <w:rPr>
          <w:color w:val="222222"/>
          <w:shd w:val="clear" w:color="auto" w:fill="F2F2F2"/>
        </w:rPr>
      </w:pPr>
    </w:p>
    <w:p w14:paraId="0266D720" w14:textId="77777777" w:rsidR="009F605B" w:rsidRDefault="009F605B" w:rsidP="00C9504C">
      <w:pPr>
        <w:spacing w:after="0" w:line="480" w:lineRule="auto"/>
        <w:rPr>
          <w:color w:val="222222"/>
          <w:shd w:val="clear" w:color="auto" w:fill="FFFFFF"/>
        </w:rPr>
      </w:pPr>
    </w:p>
    <w:p w14:paraId="64FA5472" w14:textId="77777777" w:rsidR="009F605B" w:rsidRDefault="009F605B" w:rsidP="00C9504C">
      <w:pPr>
        <w:spacing w:after="0" w:line="480" w:lineRule="auto"/>
        <w:rPr>
          <w:color w:val="222222"/>
          <w:shd w:val="clear" w:color="auto" w:fill="FFFFFF"/>
        </w:rPr>
      </w:pPr>
    </w:p>
    <w:p w14:paraId="2B9098F7" w14:textId="77777777" w:rsidR="009F605B" w:rsidRDefault="009F605B" w:rsidP="00C9504C">
      <w:pPr>
        <w:spacing w:after="0" w:line="480" w:lineRule="auto"/>
        <w:rPr>
          <w:color w:val="222222"/>
          <w:shd w:val="clear" w:color="auto" w:fill="FFFFFF"/>
        </w:rPr>
      </w:pPr>
    </w:p>
    <w:p w14:paraId="00E55036" w14:textId="77777777" w:rsidR="009F605B" w:rsidRDefault="009F605B" w:rsidP="00C9504C">
      <w:pPr>
        <w:spacing w:after="0" w:line="480" w:lineRule="auto"/>
        <w:rPr>
          <w:color w:val="222222"/>
          <w:shd w:val="clear" w:color="auto" w:fill="FFFFFF"/>
        </w:rPr>
      </w:pPr>
    </w:p>
    <w:p w14:paraId="261D1BE4" w14:textId="77777777" w:rsidR="009F605B" w:rsidRDefault="009F605B" w:rsidP="00C9504C">
      <w:pPr>
        <w:spacing w:after="0" w:line="480" w:lineRule="auto"/>
        <w:rPr>
          <w:color w:val="222222"/>
          <w:shd w:val="clear" w:color="auto" w:fill="FFFFFF"/>
        </w:rPr>
      </w:pPr>
    </w:p>
    <w:p w14:paraId="1F0CC26D" w14:textId="77777777" w:rsidR="009F605B" w:rsidRDefault="009F605B" w:rsidP="00C9504C">
      <w:pPr>
        <w:spacing w:after="0" w:line="480" w:lineRule="auto"/>
        <w:rPr>
          <w:color w:val="222222"/>
          <w:shd w:val="clear" w:color="auto" w:fill="FFFFFF"/>
        </w:rPr>
      </w:pPr>
    </w:p>
    <w:p w14:paraId="3B9C8394" w14:textId="77777777" w:rsidR="009F605B" w:rsidRDefault="009F605B" w:rsidP="00C9504C">
      <w:pPr>
        <w:spacing w:after="0" w:line="480" w:lineRule="auto"/>
        <w:rPr>
          <w:color w:val="222222"/>
          <w:shd w:val="clear" w:color="auto" w:fill="FFFFFF"/>
        </w:rPr>
      </w:pPr>
    </w:p>
    <w:p w14:paraId="02AB5D6D" w14:textId="77777777" w:rsidR="009F605B" w:rsidRDefault="009F605B" w:rsidP="00C9504C">
      <w:pPr>
        <w:spacing w:after="0" w:line="480" w:lineRule="auto"/>
        <w:rPr>
          <w:color w:val="222222"/>
          <w:shd w:val="clear" w:color="auto" w:fill="F2F2F2"/>
        </w:rPr>
      </w:pPr>
    </w:p>
    <w:p w14:paraId="259A9FA2" w14:textId="77777777" w:rsidR="009F605B" w:rsidRDefault="009F605B" w:rsidP="00C9504C">
      <w:pPr>
        <w:spacing w:after="0" w:line="480" w:lineRule="auto"/>
        <w:rPr>
          <w:color w:val="222222"/>
          <w:shd w:val="clear" w:color="auto" w:fill="F2F2F2"/>
        </w:rPr>
      </w:pPr>
    </w:p>
    <w:p w14:paraId="71B776CF" w14:textId="77777777" w:rsidR="009F605B" w:rsidRDefault="009F605B" w:rsidP="00C9504C">
      <w:pPr>
        <w:spacing w:after="0" w:line="480" w:lineRule="auto"/>
        <w:rPr>
          <w:color w:val="222222"/>
          <w:shd w:val="clear" w:color="auto" w:fill="FFFFFF"/>
        </w:rPr>
      </w:pPr>
    </w:p>
    <w:p w14:paraId="583C21CA" w14:textId="77777777" w:rsidR="009F605B" w:rsidRDefault="009F605B" w:rsidP="00C9504C">
      <w:pPr>
        <w:spacing w:after="0" w:line="480" w:lineRule="auto"/>
        <w:rPr>
          <w:color w:val="222222"/>
          <w:shd w:val="clear" w:color="auto" w:fill="FFFFFF"/>
        </w:rPr>
      </w:pPr>
    </w:p>
    <w:p w14:paraId="03AE79EC" w14:textId="77777777" w:rsidR="009F605B" w:rsidRDefault="009F605B" w:rsidP="00C9504C">
      <w:pPr>
        <w:spacing w:after="0" w:line="480" w:lineRule="auto"/>
        <w:rPr>
          <w:color w:val="222222"/>
          <w:shd w:val="clear" w:color="auto" w:fill="F2F2F2"/>
        </w:rPr>
      </w:pPr>
    </w:p>
    <w:p w14:paraId="18A6D91F" w14:textId="77777777" w:rsidR="009F605B" w:rsidRDefault="009F605B" w:rsidP="00C9504C">
      <w:pPr>
        <w:spacing w:after="0" w:line="480" w:lineRule="auto"/>
        <w:rPr>
          <w:color w:val="222222"/>
          <w:shd w:val="clear" w:color="auto" w:fill="F2F2F2"/>
        </w:rPr>
      </w:pPr>
    </w:p>
    <w:p w14:paraId="08A74480" w14:textId="13FB9B26" w:rsidR="009F605B" w:rsidRDefault="009F605B" w:rsidP="00C9504C">
      <w:pPr>
        <w:spacing w:after="0" w:line="480" w:lineRule="auto"/>
        <w:rPr>
          <w:color w:val="222222"/>
          <w:shd w:val="clear" w:color="auto" w:fill="F2F2F2"/>
        </w:rPr>
      </w:pPr>
    </w:p>
    <w:p w14:paraId="367BC092" w14:textId="77777777" w:rsidR="009F605B" w:rsidRDefault="009F605B" w:rsidP="00C9504C">
      <w:pPr>
        <w:spacing w:after="0" w:line="480" w:lineRule="auto"/>
        <w:rPr>
          <w:color w:val="222222"/>
          <w:shd w:val="clear" w:color="auto" w:fill="F2F2F2"/>
        </w:rPr>
      </w:pPr>
    </w:p>
    <w:p w14:paraId="4AB3010D" w14:textId="77777777" w:rsidR="009F605B" w:rsidRDefault="009F605B" w:rsidP="00C9504C">
      <w:pPr>
        <w:spacing w:after="0" w:line="480" w:lineRule="auto"/>
        <w:rPr>
          <w:color w:val="222222"/>
          <w:shd w:val="clear" w:color="auto" w:fill="F2F2F2"/>
        </w:rPr>
      </w:pPr>
    </w:p>
    <w:p w14:paraId="7A84DEFB" w14:textId="77777777" w:rsidR="009F605B" w:rsidRPr="000D1569" w:rsidRDefault="009F605B" w:rsidP="00C9504C">
      <w:pPr>
        <w:spacing w:after="0" w:line="480" w:lineRule="auto"/>
      </w:pPr>
    </w:p>
    <w:sectPr w:rsidR="009F605B" w:rsidRPr="000D1569" w:rsidSect="00F1508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95061" w14:textId="77777777" w:rsidR="001E3877" w:rsidRDefault="001E3877" w:rsidP="00EE73C7">
      <w:pPr>
        <w:spacing w:after="0" w:line="240" w:lineRule="auto"/>
      </w:pPr>
      <w:r>
        <w:separator/>
      </w:r>
    </w:p>
  </w:endnote>
  <w:endnote w:type="continuationSeparator" w:id="0">
    <w:p w14:paraId="46D7103C" w14:textId="77777777" w:rsidR="001E3877" w:rsidRDefault="001E3877" w:rsidP="00EE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MRoman12">
    <w:altName w:val="Calibri"/>
    <w:charset w:val="00"/>
    <w:family w:val="auto"/>
    <w:pitch w:val="variable"/>
    <w:sig w:usb0="20000007" w:usb1="00000000" w:usb2="00000000" w:usb3="00000000" w:csb0="00000193" w:csb1="00000000"/>
  </w:font>
  <w:font w:name="Calibri">
    <w:panose1 w:val="020F0502020204030204"/>
    <w:charset w:val="00"/>
    <w:family w:val="swiss"/>
    <w:pitch w:val="variable"/>
    <w:sig w:usb0="E4002EFF" w:usb1="C200247B" w:usb2="00000009" w:usb3="00000000" w:csb0="000001FF" w:csb1="00000000"/>
  </w:font>
  <w:font w:name="LM Roman 12">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MMono12">
    <w:charset w:val="00"/>
    <w:family w:val="modern"/>
    <w:pitch w:val="variable"/>
    <w:sig w:usb0="20000007" w:usb1="00000000" w:usb2="00000000" w:usb3="00000000" w:csb0="00000193" w:csb1="00000000"/>
  </w:font>
  <w:font w:name="LMMath">
    <w:charset w:val="00"/>
    <w:family w:val="auto"/>
    <w:pitch w:val="variable"/>
    <w:sig w:usb0="A00000EF" w:usb1="4201F9EE" w:usb2="02000000" w:usb3="00000000" w:csb0="00000093" w:csb1="00000000"/>
  </w:font>
  <w:font w:name="SFTI1200">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26F70" w14:textId="77777777" w:rsidR="001E3877" w:rsidRDefault="001E3877" w:rsidP="00EE73C7">
      <w:pPr>
        <w:spacing w:after="0" w:line="240" w:lineRule="auto"/>
      </w:pPr>
      <w:r>
        <w:separator/>
      </w:r>
    </w:p>
  </w:footnote>
  <w:footnote w:type="continuationSeparator" w:id="0">
    <w:p w14:paraId="7014AE6A" w14:textId="77777777" w:rsidR="001E3877" w:rsidRDefault="001E3877" w:rsidP="00EE73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A47EA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E08A5C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8C2A098"/>
    <w:lvl w:ilvl="0">
      <w:start w:val="1"/>
      <w:numFmt w:val="decimal"/>
      <w:pStyle w:val="ListNumber3"/>
      <w:lvlText w:val="%1."/>
      <w:lvlJc w:val="left"/>
      <w:pPr>
        <w:tabs>
          <w:tab w:val="num" w:pos="926"/>
        </w:tabs>
        <w:ind w:left="926" w:hanging="360"/>
      </w:pPr>
    </w:lvl>
  </w:abstractNum>
  <w:abstractNum w:abstractNumId="3">
    <w:nsid w:val="FFFFFF7F"/>
    <w:multiLevelType w:val="singleLevel"/>
    <w:tmpl w:val="E4808430"/>
    <w:lvl w:ilvl="0">
      <w:start w:val="1"/>
      <w:numFmt w:val="decimal"/>
      <w:pStyle w:val="ListNumber2"/>
      <w:lvlText w:val="%1."/>
      <w:lvlJc w:val="left"/>
      <w:pPr>
        <w:tabs>
          <w:tab w:val="num" w:pos="643"/>
        </w:tabs>
        <w:ind w:left="643" w:hanging="360"/>
      </w:pPr>
    </w:lvl>
  </w:abstractNum>
  <w:abstractNum w:abstractNumId="4">
    <w:nsid w:val="FFFFFF80"/>
    <w:multiLevelType w:val="singleLevel"/>
    <w:tmpl w:val="6E80C5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2F260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1B073E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6F458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EFEF0F4"/>
    <w:lvl w:ilvl="0">
      <w:start w:val="1"/>
      <w:numFmt w:val="decimal"/>
      <w:pStyle w:val="ListNumber"/>
      <w:lvlText w:val="%1."/>
      <w:lvlJc w:val="left"/>
      <w:pPr>
        <w:tabs>
          <w:tab w:val="num" w:pos="360"/>
        </w:tabs>
        <w:ind w:left="360" w:hanging="360"/>
      </w:pPr>
    </w:lvl>
  </w:abstractNum>
  <w:abstractNum w:abstractNumId="9">
    <w:nsid w:val="FFFFFF89"/>
    <w:multiLevelType w:val="singleLevel"/>
    <w:tmpl w:val="023E751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27270"/>
    <w:multiLevelType w:val="multilevel"/>
    <w:tmpl w:val="9D44E0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124681B"/>
    <w:multiLevelType w:val="multilevel"/>
    <w:tmpl w:val="FB1047D4"/>
    <w:name w:val="AppList"/>
    <w:lvl w:ilvl="0">
      <w:start w:val="1"/>
      <w:numFmt w:val="upperLetter"/>
      <w:pStyle w:val="Heading7"/>
      <w:lvlText w:val="Appendix %1"/>
      <w:lvlJc w:val="left"/>
      <w:pPr>
        <w:ind w:left="0" w:hanging="1134"/>
      </w:pPr>
      <w:rPr>
        <w:rFonts w:hint="default"/>
        <w:b/>
        <w:i w:val="0"/>
        <w:vanish w:val="0"/>
        <w:color w:val="FFFFFF" w:themeColor="background1"/>
        <w:sz w:val="16"/>
      </w:rPr>
    </w:lvl>
    <w:lvl w:ilvl="1">
      <w:start w:val="1"/>
      <w:numFmt w:val="decimal"/>
      <w:pStyle w:val="Appendix2"/>
      <w:lvlText w:val="%1.%2"/>
      <w:lvlJc w:val="left"/>
      <w:pPr>
        <w:ind w:left="697" w:hanging="697"/>
      </w:pPr>
      <w:rPr>
        <w:rFonts w:hint="default"/>
      </w:rPr>
    </w:lvl>
    <w:lvl w:ilvl="2">
      <w:start w:val="1"/>
      <w:numFmt w:val="decimal"/>
      <w:pStyle w:val="Appendix3"/>
      <w:lvlText w:val="%1.%2.%3"/>
      <w:lvlJc w:val="left"/>
      <w:pPr>
        <w:ind w:left="811" w:hanging="811"/>
      </w:pPr>
      <w:rPr>
        <w:rFonts w:hint="default"/>
      </w:rPr>
    </w:lvl>
    <w:lvl w:ilvl="3">
      <w:start w:val="1"/>
      <w:numFmt w:val="decimal"/>
      <w:pStyle w:val="Appendix4"/>
      <w:lvlText w:val="%1.%2.%3.%4"/>
      <w:lvlJc w:val="left"/>
      <w:pPr>
        <w:ind w:left="947" w:hanging="947"/>
      </w:pPr>
      <w:rPr>
        <w:rFonts w:hint="default"/>
      </w:rPr>
    </w:lvl>
    <w:lvl w:ilvl="4">
      <w:start w:val="1"/>
      <w:numFmt w:val="decimal"/>
      <w:pStyle w:val="Appendix5"/>
      <w:lvlText w:val="%1.%2.%3.%4.%5"/>
      <w:lvlJc w:val="left"/>
      <w:pPr>
        <w:ind w:left="1151" w:hanging="1151"/>
      </w:pPr>
      <w:rPr>
        <w:rFonts w:hint="default"/>
      </w:rPr>
    </w:lvl>
    <w:lvl w:ilvl="5">
      <w:start w:val="1"/>
      <w:numFmt w:val="decimal"/>
      <w:pStyle w:val="Appendix6"/>
      <w:lvlText w:val="%1.%2.%3.%4.%5.%6"/>
      <w:lvlJc w:val="left"/>
      <w:pPr>
        <w:ind w:left="1701" w:hanging="1361"/>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1A01354"/>
    <w:multiLevelType w:val="multilevel"/>
    <w:tmpl w:val="7CE8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734010D"/>
    <w:multiLevelType w:val="hybridMultilevel"/>
    <w:tmpl w:val="FF9E1E20"/>
    <w:lvl w:ilvl="0" w:tplc="5608ECEE">
      <w:numFmt w:val="bullet"/>
      <w:lvlText w:val="-"/>
      <w:lvlJc w:val="left"/>
      <w:pPr>
        <w:ind w:left="720" w:hanging="360"/>
      </w:pPr>
      <w:rPr>
        <w:rFonts w:ascii="LMRoman12" w:eastAsiaTheme="minorHAnsi" w:hAnsi="LMRoman12"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7D40252"/>
    <w:multiLevelType w:val="hybridMultilevel"/>
    <w:tmpl w:val="4CB29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8560446"/>
    <w:multiLevelType w:val="hybridMultilevel"/>
    <w:tmpl w:val="2DD80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A090DA4"/>
    <w:multiLevelType w:val="hybridMultilevel"/>
    <w:tmpl w:val="0CBCC6EA"/>
    <w:lvl w:ilvl="0" w:tplc="87E4A9DE">
      <w:start w:val="1"/>
      <w:numFmt w:val="bullet"/>
      <w:pStyle w:val="Dash"/>
      <w:lvlText w:val=""/>
      <w:lvlJc w:val="left"/>
      <w:pPr>
        <w:ind w:left="928"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nsid w:val="1DDA64C2"/>
    <w:multiLevelType w:val="hybridMultilevel"/>
    <w:tmpl w:val="09B47788"/>
    <w:lvl w:ilvl="0" w:tplc="08090001">
      <w:start w:val="1"/>
      <w:numFmt w:val="bullet"/>
      <w:lvlText w:val=""/>
      <w:lvlJc w:val="left"/>
      <w:pPr>
        <w:ind w:left="683" w:hanging="360"/>
      </w:pPr>
      <w:rPr>
        <w:rFonts w:ascii="Symbol" w:hAnsi="Symbol" w:hint="default"/>
      </w:rPr>
    </w:lvl>
    <w:lvl w:ilvl="1" w:tplc="08090003" w:tentative="1">
      <w:start w:val="1"/>
      <w:numFmt w:val="bullet"/>
      <w:lvlText w:val="o"/>
      <w:lvlJc w:val="left"/>
      <w:pPr>
        <w:ind w:left="1403" w:hanging="360"/>
      </w:pPr>
      <w:rPr>
        <w:rFonts w:ascii="Courier New" w:hAnsi="Courier New" w:cs="Courier New" w:hint="default"/>
      </w:rPr>
    </w:lvl>
    <w:lvl w:ilvl="2" w:tplc="08090005" w:tentative="1">
      <w:start w:val="1"/>
      <w:numFmt w:val="bullet"/>
      <w:lvlText w:val=""/>
      <w:lvlJc w:val="left"/>
      <w:pPr>
        <w:ind w:left="2123" w:hanging="360"/>
      </w:pPr>
      <w:rPr>
        <w:rFonts w:ascii="Wingdings" w:hAnsi="Wingdings" w:hint="default"/>
      </w:rPr>
    </w:lvl>
    <w:lvl w:ilvl="3" w:tplc="08090001" w:tentative="1">
      <w:start w:val="1"/>
      <w:numFmt w:val="bullet"/>
      <w:lvlText w:val=""/>
      <w:lvlJc w:val="left"/>
      <w:pPr>
        <w:ind w:left="2843" w:hanging="360"/>
      </w:pPr>
      <w:rPr>
        <w:rFonts w:ascii="Symbol" w:hAnsi="Symbol" w:hint="default"/>
      </w:rPr>
    </w:lvl>
    <w:lvl w:ilvl="4" w:tplc="08090003" w:tentative="1">
      <w:start w:val="1"/>
      <w:numFmt w:val="bullet"/>
      <w:lvlText w:val="o"/>
      <w:lvlJc w:val="left"/>
      <w:pPr>
        <w:ind w:left="3563" w:hanging="360"/>
      </w:pPr>
      <w:rPr>
        <w:rFonts w:ascii="Courier New" w:hAnsi="Courier New" w:cs="Courier New" w:hint="default"/>
      </w:rPr>
    </w:lvl>
    <w:lvl w:ilvl="5" w:tplc="08090005" w:tentative="1">
      <w:start w:val="1"/>
      <w:numFmt w:val="bullet"/>
      <w:lvlText w:val=""/>
      <w:lvlJc w:val="left"/>
      <w:pPr>
        <w:ind w:left="4283" w:hanging="360"/>
      </w:pPr>
      <w:rPr>
        <w:rFonts w:ascii="Wingdings" w:hAnsi="Wingdings" w:hint="default"/>
      </w:rPr>
    </w:lvl>
    <w:lvl w:ilvl="6" w:tplc="08090001" w:tentative="1">
      <w:start w:val="1"/>
      <w:numFmt w:val="bullet"/>
      <w:lvlText w:val=""/>
      <w:lvlJc w:val="left"/>
      <w:pPr>
        <w:ind w:left="5003" w:hanging="360"/>
      </w:pPr>
      <w:rPr>
        <w:rFonts w:ascii="Symbol" w:hAnsi="Symbol" w:hint="default"/>
      </w:rPr>
    </w:lvl>
    <w:lvl w:ilvl="7" w:tplc="08090003" w:tentative="1">
      <w:start w:val="1"/>
      <w:numFmt w:val="bullet"/>
      <w:lvlText w:val="o"/>
      <w:lvlJc w:val="left"/>
      <w:pPr>
        <w:ind w:left="5723" w:hanging="360"/>
      </w:pPr>
      <w:rPr>
        <w:rFonts w:ascii="Courier New" w:hAnsi="Courier New" w:cs="Courier New" w:hint="default"/>
      </w:rPr>
    </w:lvl>
    <w:lvl w:ilvl="8" w:tplc="08090005" w:tentative="1">
      <w:start w:val="1"/>
      <w:numFmt w:val="bullet"/>
      <w:lvlText w:val=""/>
      <w:lvlJc w:val="left"/>
      <w:pPr>
        <w:ind w:left="6443" w:hanging="360"/>
      </w:pPr>
      <w:rPr>
        <w:rFonts w:ascii="Wingdings" w:hAnsi="Wingdings" w:hint="default"/>
      </w:rPr>
    </w:lvl>
  </w:abstractNum>
  <w:abstractNum w:abstractNumId="18">
    <w:nsid w:val="23942D03"/>
    <w:multiLevelType w:val="hybridMultilevel"/>
    <w:tmpl w:val="0F884318"/>
    <w:lvl w:ilvl="0" w:tplc="413C1A1C">
      <w:start w:val="5"/>
      <w:numFmt w:val="bullet"/>
      <w:lvlText w:val="-"/>
      <w:lvlJc w:val="left"/>
      <w:pPr>
        <w:ind w:left="720" w:hanging="360"/>
      </w:pPr>
      <w:rPr>
        <w:rFonts w:ascii="LMRoman12" w:eastAsiaTheme="minorHAnsi" w:hAnsi="LMRoman12"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C5C0E13"/>
    <w:multiLevelType w:val="hybridMultilevel"/>
    <w:tmpl w:val="447A8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D4853E8"/>
    <w:multiLevelType w:val="hybridMultilevel"/>
    <w:tmpl w:val="D910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0DD5D5C"/>
    <w:multiLevelType w:val="multilevel"/>
    <w:tmpl w:val="93A6B2AC"/>
    <w:lvl w:ilvl="0">
      <w:start w:val="1"/>
      <w:numFmt w:val="bullet"/>
      <w:pStyle w:val="Bullet1"/>
      <w:lvlText w:val=""/>
      <w:lvlJc w:val="left"/>
      <w:pPr>
        <w:ind w:left="544" w:hanging="221"/>
      </w:pPr>
      <w:rPr>
        <w:rFonts w:ascii="Symbol" w:hAnsi="Symbol" w:hint="default"/>
        <w:color w:val="auto"/>
      </w:rPr>
    </w:lvl>
    <w:lvl w:ilvl="1">
      <w:start w:val="1"/>
      <w:numFmt w:val="bullet"/>
      <w:pStyle w:val="Bullet2"/>
      <w:lvlText w:val="−"/>
      <w:lvlJc w:val="left"/>
      <w:pPr>
        <w:ind w:left="1021" w:hanging="244"/>
      </w:pPr>
      <w:rPr>
        <w:rFonts w:ascii="LM Roman 12" w:hAnsi="LM Roman 12" w:hint="default"/>
      </w:rPr>
    </w:lvl>
    <w:lvl w:ilvl="2">
      <w:start w:val="1"/>
      <w:numFmt w:val="bullet"/>
      <w:pStyle w:val="Bullet3"/>
      <w:lvlText w:val="◦"/>
      <w:lvlJc w:val="left"/>
      <w:pPr>
        <w:ind w:left="1247" w:hanging="232"/>
      </w:pPr>
      <w:rPr>
        <w:rFonts w:ascii="LM Roman 12" w:hAnsi="LM Roman 12"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21A43F2"/>
    <w:multiLevelType w:val="hybridMultilevel"/>
    <w:tmpl w:val="C4966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7485ED1"/>
    <w:multiLevelType w:val="multilevel"/>
    <w:tmpl w:val="9D44E0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36333C8"/>
    <w:multiLevelType w:val="hybridMultilevel"/>
    <w:tmpl w:val="9D0E9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4586AD1"/>
    <w:multiLevelType w:val="multilevel"/>
    <w:tmpl w:val="9D44E0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68039A4"/>
    <w:multiLevelType w:val="hybridMultilevel"/>
    <w:tmpl w:val="5380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8FF751F"/>
    <w:multiLevelType w:val="hybridMultilevel"/>
    <w:tmpl w:val="02A27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9A963DB"/>
    <w:multiLevelType w:val="hybridMultilevel"/>
    <w:tmpl w:val="1F88E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0A66FA"/>
    <w:multiLevelType w:val="multilevel"/>
    <w:tmpl w:val="9D44E0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F76001F"/>
    <w:multiLevelType w:val="hybridMultilevel"/>
    <w:tmpl w:val="87FE8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0434245"/>
    <w:multiLevelType w:val="hybridMultilevel"/>
    <w:tmpl w:val="3198E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DAE0306"/>
    <w:multiLevelType w:val="hybridMultilevel"/>
    <w:tmpl w:val="34F4D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27676C2"/>
    <w:multiLevelType w:val="multilevel"/>
    <w:tmpl w:val="D5EEA004"/>
    <w:lvl w:ilvl="0">
      <w:start w:val="1"/>
      <w:numFmt w:val="decimal"/>
      <w:pStyle w:val="Heading1"/>
      <w:lvlText w:val="%1"/>
      <w:lvlJc w:val="left"/>
      <w:pPr>
        <w:ind w:left="0" w:hanging="1134"/>
      </w:pPr>
      <w:rPr>
        <w:rFonts w:hint="default"/>
        <w:b/>
        <w:i w:val="0"/>
        <w:vanish w:val="0"/>
        <w:color w:val="FFFFFF" w:themeColor="background1"/>
        <w:sz w:val="16"/>
      </w:rPr>
    </w:lvl>
    <w:lvl w:ilvl="1">
      <w:start w:val="1"/>
      <w:numFmt w:val="decimal"/>
      <w:pStyle w:val="Heading2"/>
      <w:lvlText w:val="%1.%2"/>
      <w:lvlJc w:val="left"/>
      <w:pPr>
        <w:tabs>
          <w:tab w:val="num" w:pos="697"/>
        </w:tabs>
        <w:ind w:left="697" w:hanging="697"/>
      </w:pPr>
      <w:rPr>
        <w:rFonts w:hint="default"/>
      </w:rPr>
    </w:lvl>
    <w:lvl w:ilvl="2">
      <w:start w:val="1"/>
      <w:numFmt w:val="decimal"/>
      <w:pStyle w:val="Heading3"/>
      <w:lvlText w:val="%1.%2.%3"/>
      <w:lvlJc w:val="left"/>
      <w:pPr>
        <w:tabs>
          <w:tab w:val="num" w:pos="811"/>
        </w:tabs>
        <w:ind w:left="811" w:hanging="811"/>
      </w:pPr>
      <w:rPr>
        <w:rFonts w:hint="default"/>
      </w:rPr>
    </w:lvl>
    <w:lvl w:ilvl="3">
      <w:start w:val="1"/>
      <w:numFmt w:val="decimal"/>
      <w:pStyle w:val="Heading4"/>
      <w:lvlText w:val="%1.%2.%3.%4"/>
      <w:lvlJc w:val="left"/>
      <w:pPr>
        <w:tabs>
          <w:tab w:val="num" w:pos="947"/>
        </w:tabs>
        <w:ind w:left="947" w:hanging="947"/>
      </w:pPr>
      <w:rPr>
        <w:rFonts w:hint="default"/>
      </w:rPr>
    </w:lvl>
    <w:lvl w:ilvl="4">
      <w:start w:val="1"/>
      <w:numFmt w:val="decimal"/>
      <w:pStyle w:val="Heading5"/>
      <w:lvlText w:val="%1.%2.%3.%4.%5"/>
      <w:lvlJc w:val="left"/>
      <w:pPr>
        <w:tabs>
          <w:tab w:val="num" w:pos="1151"/>
        </w:tabs>
        <w:ind w:left="1151" w:hanging="1151"/>
      </w:pPr>
      <w:rPr>
        <w:rFonts w:hint="default"/>
      </w:rPr>
    </w:lvl>
    <w:lvl w:ilvl="5">
      <w:start w:val="1"/>
      <w:numFmt w:val="decimal"/>
      <w:pStyle w:val="Heading6"/>
      <w:lvlText w:val="%1.%2.%3.%4.%5.%6"/>
      <w:lvlJc w:val="left"/>
      <w:pPr>
        <w:tabs>
          <w:tab w:val="num" w:pos="1701"/>
        </w:tabs>
        <w:ind w:left="1701" w:hanging="1361"/>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3D0440A"/>
    <w:multiLevelType w:val="hybridMultilevel"/>
    <w:tmpl w:val="7466EF0A"/>
    <w:lvl w:ilvl="0" w:tplc="E572F2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8B87CF0"/>
    <w:multiLevelType w:val="hybridMultilevel"/>
    <w:tmpl w:val="216CAD1A"/>
    <w:lvl w:ilvl="0" w:tplc="19260AA8">
      <w:numFmt w:val="bullet"/>
      <w:lvlText w:val="-"/>
      <w:lvlJc w:val="left"/>
      <w:pPr>
        <w:ind w:left="720" w:hanging="360"/>
      </w:pPr>
      <w:rPr>
        <w:rFonts w:ascii="LMRoman12" w:eastAsiaTheme="minorHAnsi" w:hAnsi="LMRoman12"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A3A5977"/>
    <w:multiLevelType w:val="hybridMultilevel"/>
    <w:tmpl w:val="248440AE"/>
    <w:lvl w:ilvl="0" w:tplc="1646D42A">
      <w:numFmt w:val="bullet"/>
      <w:lvlText w:val="•"/>
      <w:lvlJc w:val="left"/>
      <w:pPr>
        <w:ind w:left="1070" w:hanging="710"/>
      </w:pPr>
      <w:rPr>
        <w:rFonts w:ascii="LMRoman12" w:eastAsiaTheme="minorHAnsi" w:hAnsi="LMRoman12"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F356E51"/>
    <w:multiLevelType w:val="hybridMultilevel"/>
    <w:tmpl w:val="CFB26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F62361C"/>
    <w:multiLevelType w:val="hybridMultilevel"/>
    <w:tmpl w:val="16147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1"/>
  </w:num>
  <w:num w:numId="3">
    <w:abstractNumId w:val="16"/>
  </w:num>
  <w:num w:numId="4">
    <w:abstractNumId w:val="33"/>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9"/>
  </w:num>
  <w:num w:numId="17">
    <w:abstractNumId w:val="23"/>
  </w:num>
  <w:num w:numId="18">
    <w:abstractNumId w:val="18"/>
  </w:num>
  <w:num w:numId="19">
    <w:abstractNumId w:val="13"/>
  </w:num>
  <w:num w:numId="20">
    <w:abstractNumId w:val="10"/>
  </w:num>
  <w:num w:numId="21">
    <w:abstractNumId w:val="37"/>
  </w:num>
  <w:num w:numId="22">
    <w:abstractNumId w:val="32"/>
  </w:num>
  <w:num w:numId="23">
    <w:abstractNumId w:val="36"/>
  </w:num>
  <w:num w:numId="24">
    <w:abstractNumId w:val="12"/>
  </w:num>
  <w:num w:numId="25">
    <w:abstractNumId w:val="20"/>
  </w:num>
  <w:num w:numId="26">
    <w:abstractNumId w:val="35"/>
  </w:num>
  <w:num w:numId="27">
    <w:abstractNumId w:val="17"/>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34"/>
  </w:num>
  <w:num w:numId="31">
    <w:abstractNumId w:val="28"/>
  </w:num>
  <w:num w:numId="32">
    <w:abstractNumId w:val="27"/>
  </w:num>
  <w:num w:numId="33">
    <w:abstractNumId w:val="14"/>
  </w:num>
  <w:num w:numId="34">
    <w:abstractNumId w:val="30"/>
  </w:num>
  <w:num w:numId="35">
    <w:abstractNumId w:val="15"/>
  </w:num>
  <w:num w:numId="36">
    <w:abstractNumId w:val="22"/>
  </w:num>
  <w:num w:numId="37">
    <w:abstractNumId w:val="31"/>
  </w:num>
  <w:num w:numId="38">
    <w:abstractNumId w:val="24"/>
  </w:num>
  <w:num w:numId="39">
    <w:abstractNumId w:val="38"/>
  </w:num>
  <w:num w:numId="4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029"/>
    <w:rsid w:val="0000036F"/>
    <w:rsid w:val="0000050B"/>
    <w:rsid w:val="00000BFB"/>
    <w:rsid w:val="00000E68"/>
    <w:rsid w:val="00001169"/>
    <w:rsid w:val="00001A49"/>
    <w:rsid w:val="0000268A"/>
    <w:rsid w:val="00002D60"/>
    <w:rsid w:val="000049DE"/>
    <w:rsid w:val="00005559"/>
    <w:rsid w:val="00007DDF"/>
    <w:rsid w:val="0001034B"/>
    <w:rsid w:val="000128D7"/>
    <w:rsid w:val="000149AE"/>
    <w:rsid w:val="000162A2"/>
    <w:rsid w:val="00017D93"/>
    <w:rsid w:val="00017D9B"/>
    <w:rsid w:val="00020242"/>
    <w:rsid w:val="000206A6"/>
    <w:rsid w:val="00020786"/>
    <w:rsid w:val="00021440"/>
    <w:rsid w:val="00022015"/>
    <w:rsid w:val="00022393"/>
    <w:rsid w:val="00023436"/>
    <w:rsid w:val="00024559"/>
    <w:rsid w:val="000252AC"/>
    <w:rsid w:val="00025F68"/>
    <w:rsid w:val="000263B1"/>
    <w:rsid w:val="000263F3"/>
    <w:rsid w:val="000266B1"/>
    <w:rsid w:val="00026D34"/>
    <w:rsid w:val="000317E9"/>
    <w:rsid w:val="00031892"/>
    <w:rsid w:val="00034029"/>
    <w:rsid w:val="00035600"/>
    <w:rsid w:val="00036CB7"/>
    <w:rsid w:val="00036E2D"/>
    <w:rsid w:val="0003758A"/>
    <w:rsid w:val="00040735"/>
    <w:rsid w:val="0004143D"/>
    <w:rsid w:val="00042F77"/>
    <w:rsid w:val="0004475F"/>
    <w:rsid w:val="000461E8"/>
    <w:rsid w:val="00047F3A"/>
    <w:rsid w:val="00051735"/>
    <w:rsid w:val="000544F0"/>
    <w:rsid w:val="0005488F"/>
    <w:rsid w:val="0005496D"/>
    <w:rsid w:val="00055A64"/>
    <w:rsid w:val="00056C7C"/>
    <w:rsid w:val="0006185E"/>
    <w:rsid w:val="00061BDA"/>
    <w:rsid w:val="00061C4E"/>
    <w:rsid w:val="0006375A"/>
    <w:rsid w:val="0006466E"/>
    <w:rsid w:val="000651FF"/>
    <w:rsid w:val="00065969"/>
    <w:rsid w:val="0006671E"/>
    <w:rsid w:val="000714D7"/>
    <w:rsid w:val="000739E3"/>
    <w:rsid w:val="00075855"/>
    <w:rsid w:val="000761FC"/>
    <w:rsid w:val="00077423"/>
    <w:rsid w:val="00077CCD"/>
    <w:rsid w:val="0008019D"/>
    <w:rsid w:val="00080918"/>
    <w:rsid w:val="00080AF6"/>
    <w:rsid w:val="00080AFD"/>
    <w:rsid w:val="00082907"/>
    <w:rsid w:val="00082D3E"/>
    <w:rsid w:val="00083774"/>
    <w:rsid w:val="00084B20"/>
    <w:rsid w:val="00085B52"/>
    <w:rsid w:val="000861BF"/>
    <w:rsid w:val="00086447"/>
    <w:rsid w:val="00087827"/>
    <w:rsid w:val="00090D59"/>
    <w:rsid w:val="00092A8A"/>
    <w:rsid w:val="00092F66"/>
    <w:rsid w:val="00095435"/>
    <w:rsid w:val="00095908"/>
    <w:rsid w:val="00095B17"/>
    <w:rsid w:val="000A515C"/>
    <w:rsid w:val="000A51CB"/>
    <w:rsid w:val="000A7194"/>
    <w:rsid w:val="000A73F0"/>
    <w:rsid w:val="000A740E"/>
    <w:rsid w:val="000B0255"/>
    <w:rsid w:val="000B04A8"/>
    <w:rsid w:val="000B0A67"/>
    <w:rsid w:val="000B1DFA"/>
    <w:rsid w:val="000B26D9"/>
    <w:rsid w:val="000B276E"/>
    <w:rsid w:val="000B3E19"/>
    <w:rsid w:val="000B4269"/>
    <w:rsid w:val="000B433B"/>
    <w:rsid w:val="000B48E8"/>
    <w:rsid w:val="000B67D0"/>
    <w:rsid w:val="000B749C"/>
    <w:rsid w:val="000C1163"/>
    <w:rsid w:val="000C1A7D"/>
    <w:rsid w:val="000C433B"/>
    <w:rsid w:val="000C5CCF"/>
    <w:rsid w:val="000C6FE2"/>
    <w:rsid w:val="000C78A3"/>
    <w:rsid w:val="000C7A28"/>
    <w:rsid w:val="000D0BA2"/>
    <w:rsid w:val="000D1569"/>
    <w:rsid w:val="000D54F8"/>
    <w:rsid w:val="000D6998"/>
    <w:rsid w:val="000D6C01"/>
    <w:rsid w:val="000D6CC6"/>
    <w:rsid w:val="000E1EE5"/>
    <w:rsid w:val="000E2BBD"/>
    <w:rsid w:val="000E3730"/>
    <w:rsid w:val="000E3962"/>
    <w:rsid w:val="000E3F78"/>
    <w:rsid w:val="000E6455"/>
    <w:rsid w:val="000E6844"/>
    <w:rsid w:val="000E72E2"/>
    <w:rsid w:val="000F022F"/>
    <w:rsid w:val="000F1A31"/>
    <w:rsid w:val="000F1F12"/>
    <w:rsid w:val="000F270E"/>
    <w:rsid w:val="000F295F"/>
    <w:rsid w:val="000F2BDE"/>
    <w:rsid w:val="000F31D9"/>
    <w:rsid w:val="000F4DDB"/>
    <w:rsid w:val="000F550F"/>
    <w:rsid w:val="000F5F84"/>
    <w:rsid w:val="000F6089"/>
    <w:rsid w:val="000F708E"/>
    <w:rsid w:val="000F78C1"/>
    <w:rsid w:val="000F7BD3"/>
    <w:rsid w:val="00100198"/>
    <w:rsid w:val="00100DF0"/>
    <w:rsid w:val="00101289"/>
    <w:rsid w:val="0010193C"/>
    <w:rsid w:val="001036A0"/>
    <w:rsid w:val="00104843"/>
    <w:rsid w:val="00105CB2"/>
    <w:rsid w:val="00106B1E"/>
    <w:rsid w:val="00106DEC"/>
    <w:rsid w:val="0010730A"/>
    <w:rsid w:val="001074E3"/>
    <w:rsid w:val="00112208"/>
    <w:rsid w:val="00112937"/>
    <w:rsid w:val="00112BDB"/>
    <w:rsid w:val="0011371E"/>
    <w:rsid w:val="0011478E"/>
    <w:rsid w:val="00115B01"/>
    <w:rsid w:val="001166DE"/>
    <w:rsid w:val="0011783B"/>
    <w:rsid w:val="00117CD5"/>
    <w:rsid w:val="00117FEF"/>
    <w:rsid w:val="001202EF"/>
    <w:rsid w:val="00120628"/>
    <w:rsid w:val="00121A98"/>
    <w:rsid w:val="00121B46"/>
    <w:rsid w:val="001245E8"/>
    <w:rsid w:val="00124811"/>
    <w:rsid w:val="00125DC4"/>
    <w:rsid w:val="0012665B"/>
    <w:rsid w:val="001278E9"/>
    <w:rsid w:val="0012798E"/>
    <w:rsid w:val="00133024"/>
    <w:rsid w:val="00134B18"/>
    <w:rsid w:val="001355F9"/>
    <w:rsid w:val="00135E05"/>
    <w:rsid w:val="0013606D"/>
    <w:rsid w:val="00137EE1"/>
    <w:rsid w:val="00141791"/>
    <w:rsid w:val="0014180A"/>
    <w:rsid w:val="00142062"/>
    <w:rsid w:val="00143446"/>
    <w:rsid w:val="00144233"/>
    <w:rsid w:val="001448E1"/>
    <w:rsid w:val="0014792B"/>
    <w:rsid w:val="00150BAF"/>
    <w:rsid w:val="00151175"/>
    <w:rsid w:val="00151252"/>
    <w:rsid w:val="00151D8D"/>
    <w:rsid w:val="00152D11"/>
    <w:rsid w:val="00153338"/>
    <w:rsid w:val="00154CBD"/>
    <w:rsid w:val="00154D4F"/>
    <w:rsid w:val="0015574E"/>
    <w:rsid w:val="001569CD"/>
    <w:rsid w:val="001602F8"/>
    <w:rsid w:val="00161C99"/>
    <w:rsid w:val="00162BB8"/>
    <w:rsid w:val="00162D62"/>
    <w:rsid w:val="00163795"/>
    <w:rsid w:val="00164320"/>
    <w:rsid w:val="00167861"/>
    <w:rsid w:val="00171880"/>
    <w:rsid w:val="00173A38"/>
    <w:rsid w:val="00175468"/>
    <w:rsid w:val="00181041"/>
    <w:rsid w:val="001854B0"/>
    <w:rsid w:val="00186291"/>
    <w:rsid w:val="00186FA5"/>
    <w:rsid w:val="001870C7"/>
    <w:rsid w:val="001879A3"/>
    <w:rsid w:val="00190884"/>
    <w:rsid w:val="00191064"/>
    <w:rsid w:val="00191D04"/>
    <w:rsid w:val="00191FD3"/>
    <w:rsid w:val="00192391"/>
    <w:rsid w:val="001937D6"/>
    <w:rsid w:val="001939EF"/>
    <w:rsid w:val="00193C18"/>
    <w:rsid w:val="0019472A"/>
    <w:rsid w:val="00194CAA"/>
    <w:rsid w:val="00194E87"/>
    <w:rsid w:val="001957EC"/>
    <w:rsid w:val="00195A2D"/>
    <w:rsid w:val="00197256"/>
    <w:rsid w:val="001A0477"/>
    <w:rsid w:val="001A0673"/>
    <w:rsid w:val="001A06A2"/>
    <w:rsid w:val="001A2F21"/>
    <w:rsid w:val="001A3EE1"/>
    <w:rsid w:val="001A44EE"/>
    <w:rsid w:val="001A485D"/>
    <w:rsid w:val="001A599F"/>
    <w:rsid w:val="001A6304"/>
    <w:rsid w:val="001A63A7"/>
    <w:rsid w:val="001A6F5F"/>
    <w:rsid w:val="001B15EE"/>
    <w:rsid w:val="001B1B58"/>
    <w:rsid w:val="001B1F52"/>
    <w:rsid w:val="001B4106"/>
    <w:rsid w:val="001B4F89"/>
    <w:rsid w:val="001B5216"/>
    <w:rsid w:val="001C011E"/>
    <w:rsid w:val="001C0133"/>
    <w:rsid w:val="001C2A04"/>
    <w:rsid w:val="001C4F52"/>
    <w:rsid w:val="001C52AD"/>
    <w:rsid w:val="001C6636"/>
    <w:rsid w:val="001C74B5"/>
    <w:rsid w:val="001D0674"/>
    <w:rsid w:val="001D06F6"/>
    <w:rsid w:val="001D0820"/>
    <w:rsid w:val="001D1073"/>
    <w:rsid w:val="001D218D"/>
    <w:rsid w:val="001D24D7"/>
    <w:rsid w:val="001D256D"/>
    <w:rsid w:val="001D3470"/>
    <w:rsid w:val="001D38B2"/>
    <w:rsid w:val="001D4005"/>
    <w:rsid w:val="001D419E"/>
    <w:rsid w:val="001D4A13"/>
    <w:rsid w:val="001D5BDB"/>
    <w:rsid w:val="001D67FD"/>
    <w:rsid w:val="001D7052"/>
    <w:rsid w:val="001E07E2"/>
    <w:rsid w:val="001E0965"/>
    <w:rsid w:val="001E1148"/>
    <w:rsid w:val="001E1AE8"/>
    <w:rsid w:val="001E3877"/>
    <w:rsid w:val="001E50DE"/>
    <w:rsid w:val="001E5532"/>
    <w:rsid w:val="001E5C44"/>
    <w:rsid w:val="001E61D5"/>
    <w:rsid w:val="001E661F"/>
    <w:rsid w:val="001E687B"/>
    <w:rsid w:val="001E698E"/>
    <w:rsid w:val="001E7142"/>
    <w:rsid w:val="001E7148"/>
    <w:rsid w:val="001E76F8"/>
    <w:rsid w:val="001E7C57"/>
    <w:rsid w:val="001F007D"/>
    <w:rsid w:val="001F0824"/>
    <w:rsid w:val="001F0DCE"/>
    <w:rsid w:val="001F17EE"/>
    <w:rsid w:val="001F2D5F"/>
    <w:rsid w:val="001F58F5"/>
    <w:rsid w:val="001F593F"/>
    <w:rsid w:val="001F7C19"/>
    <w:rsid w:val="002003FE"/>
    <w:rsid w:val="00200D25"/>
    <w:rsid w:val="0020345D"/>
    <w:rsid w:val="00204CFB"/>
    <w:rsid w:val="00206256"/>
    <w:rsid w:val="00206FC4"/>
    <w:rsid w:val="002113F2"/>
    <w:rsid w:val="00211745"/>
    <w:rsid w:val="00214CFB"/>
    <w:rsid w:val="00214D3D"/>
    <w:rsid w:val="00215C59"/>
    <w:rsid w:val="0021779F"/>
    <w:rsid w:val="002177B6"/>
    <w:rsid w:val="00217818"/>
    <w:rsid w:val="00217BE5"/>
    <w:rsid w:val="0022073B"/>
    <w:rsid w:val="002212AD"/>
    <w:rsid w:val="00223D54"/>
    <w:rsid w:val="00223EE7"/>
    <w:rsid w:val="00224462"/>
    <w:rsid w:val="00224AE8"/>
    <w:rsid w:val="002254D1"/>
    <w:rsid w:val="002271DF"/>
    <w:rsid w:val="00227245"/>
    <w:rsid w:val="00227F33"/>
    <w:rsid w:val="00230194"/>
    <w:rsid w:val="00231918"/>
    <w:rsid w:val="00231BCD"/>
    <w:rsid w:val="0023318A"/>
    <w:rsid w:val="00233D72"/>
    <w:rsid w:val="002359DB"/>
    <w:rsid w:val="00235CF2"/>
    <w:rsid w:val="00236A3F"/>
    <w:rsid w:val="002378A0"/>
    <w:rsid w:val="002417BB"/>
    <w:rsid w:val="00241916"/>
    <w:rsid w:val="00241DCF"/>
    <w:rsid w:val="00243991"/>
    <w:rsid w:val="00246311"/>
    <w:rsid w:val="002478A3"/>
    <w:rsid w:val="00250314"/>
    <w:rsid w:val="002508F5"/>
    <w:rsid w:val="00254166"/>
    <w:rsid w:val="00255486"/>
    <w:rsid w:val="00256738"/>
    <w:rsid w:val="00257A5D"/>
    <w:rsid w:val="00260443"/>
    <w:rsid w:val="00261671"/>
    <w:rsid w:val="00261FAE"/>
    <w:rsid w:val="00262DE7"/>
    <w:rsid w:val="00262F18"/>
    <w:rsid w:val="00263F58"/>
    <w:rsid w:val="0026454E"/>
    <w:rsid w:val="00264934"/>
    <w:rsid w:val="00264ECA"/>
    <w:rsid w:val="002662F9"/>
    <w:rsid w:val="002675A3"/>
    <w:rsid w:val="002676A7"/>
    <w:rsid w:val="00267986"/>
    <w:rsid w:val="002679AA"/>
    <w:rsid w:val="00267A25"/>
    <w:rsid w:val="00271954"/>
    <w:rsid w:val="00271F9C"/>
    <w:rsid w:val="00272289"/>
    <w:rsid w:val="00272F2D"/>
    <w:rsid w:val="00273B20"/>
    <w:rsid w:val="00274A66"/>
    <w:rsid w:val="0027516D"/>
    <w:rsid w:val="00275407"/>
    <w:rsid w:val="00276685"/>
    <w:rsid w:val="00277B78"/>
    <w:rsid w:val="002836F2"/>
    <w:rsid w:val="0028488C"/>
    <w:rsid w:val="00285044"/>
    <w:rsid w:val="00285CCF"/>
    <w:rsid w:val="00286B75"/>
    <w:rsid w:val="00286C28"/>
    <w:rsid w:val="00287253"/>
    <w:rsid w:val="0028738D"/>
    <w:rsid w:val="00287573"/>
    <w:rsid w:val="00287AF2"/>
    <w:rsid w:val="00287BC8"/>
    <w:rsid w:val="00287E00"/>
    <w:rsid w:val="00291EF1"/>
    <w:rsid w:val="00291EF8"/>
    <w:rsid w:val="00292437"/>
    <w:rsid w:val="002930EC"/>
    <w:rsid w:val="00294529"/>
    <w:rsid w:val="00296392"/>
    <w:rsid w:val="002964A3"/>
    <w:rsid w:val="00296F94"/>
    <w:rsid w:val="00297D38"/>
    <w:rsid w:val="002A03A7"/>
    <w:rsid w:val="002A0B7E"/>
    <w:rsid w:val="002A1266"/>
    <w:rsid w:val="002A38CD"/>
    <w:rsid w:val="002A4A21"/>
    <w:rsid w:val="002A5280"/>
    <w:rsid w:val="002A7168"/>
    <w:rsid w:val="002A79E8"/>
    <w:rsid w:val="002A7BF5"/>
    <w:rsid w:val="002B00C9"/>
    <w:rsid w:val="002B04A5"/>
    <w:rsid w:val="002B118E"/>
    <w:rsid w:val="002B121E"/>
    <w:rsid w:val="002B561C"/>
    <w:rsid w:val="002B5E72"/>
    <w:rsid w:val="002B710F"/>
    <w:rsid w:val="002B7A7A"/>
    <w:rsid w:val="002C0193"/>
    <w:rsid w:val="002C0E88"/>
    <w:rsid w:val="002C41D4"/>
    <w:rsid w:val="002C4A17"/>
    <w:rsid w:val="002C5693"/>
    <w:rsid w:val="002C65A8"/>
    <w:rsid w:val="002C67F5"/>
    <w:rsid w:val="002C736E"/>
    <w:rsid w:val="002C770C"/>
    <w:rsid w:val="002D1E08"/>
    <w:rsid w:val="002D37A9"/>
    <w:rsid w:val="002D4652"/>
    <w:rsid w:val="002D5184"/>
    <w:rsid w:val="002D6C92"/>
    <w:rsid w:val="002D73DD"/>
    <w:rsid w:val="002D76CC"/>
    <w:rsid w:val="002D7E83"/>
    <w:rsid w:val="002E0632"/>
    <w:rsid w:val="002E14D0"/>
    <w:rsid w:val="002E2104"/>
    <w:rsid w:val="002E2519"/>
    <w:rsid w:val="002E2537"/>
    <w:rsid w:val="002E3520"/>
    <w:rsid w:val="002E4515"/>
    <w:rsid w:val="002E4845"/>
    <w:rsid w:val="002E59EB"/>
    <w:rsid w:val="002E6C59"/>
    <w:rsid w:val="002E6E34"/>
    <w:rsid w:val="002F0247"/>
    <w:rsid w:val="002F050A"/>
    <w:rsid w:val="002F141C"/>
    <w:rsid w:val="002F1985"/>
    <w:rsid w:val="002F1E58"/>
    <w:rsid w:val="002F3CD0"/>
    <w:rsid w:val="002F3F50"/>
    <w:rsid w:val="002F604C"/>
    <w:rsid w:val="002F73E8"/>
    <w:rsid w:val="002F79B5"/>
    <w:rsid w:val="00300614"/>
    <w:rsid w:val="003013AE"/>
    <w:rsid w:val="00301544"/>
    <w:rsid w:val="00302AAA"/>
    <w:rsid w:val="00302B48"/>
    <w:rsid w:val="00305335"/>
    <w:rsid w:val="00305436"/>
    <w:rsid w:val="00310663"/>
    <w:rsid w:val="003107F6"/>
    <w:rsid w:val="00310AB2"/>
    <w:rsid w:val="00310F64"/>
    <w:rsid w:val="003119BB"/>
    <w:rsid w:val="003154F4"/>
    <w:rsid w:val="00317E90"/>
    <w:rsid w:val="00320583"/>
    <w:rsid w:val="00322E1C"/>
    <w:rsid w:val="00325041"/>
    <w:rsid w:val="003259D1"/>
    <w:rsid w:val="00325FE7"/>
    <w:rsid w:val="003275F6"/>
    <w:rsid w:val="00331CCC"/>
    <w:rsid w:val="00332BED"/>
    <w:rsid w:val="003331E3"/>
    <w:rsid w:val="003348C8"/>
    <w:rsid w:val="0033621E"/>
    <w:rsid w:val="00336269"/>
    <w:rsid w:val="00336698"/>
    <w:rsid w:val="00336D07"/>
    <w:rsid w:val="00341966"/>
    <w:rsid w:val="00343589"/>
    <w:rsid w:val="00343DEE"/>
    <w:rsid w:val="0034411D"/>
    <w:rsid w:val="003449B7"/>
    <w:rsid w:val="003459C5"/>
    <w:rsid w:val="00346B6C"/>
    <w:rsid w:val="003510FA"/>
    <w:rsid w:val="003516D2"/>
    <w:rsid w:val="003518B9"/>
    <w:rsid w:val="00351D08"/>
    <w:rsid w:val="003524C7"/>
    <w:rsid w:val="00352F45"/>
    <w:rsid w:val="003531E4"/>
    <w:rsid w:val="003537AE"/>
    <w:rsid w:val="00354049"/>
    <w:rsid w:val="00354BC6"/>
    <w:rsid w:val="00356657"/>
    <w:rsid w:val="00356743"/>
    <w:rsid w:val="00356FEB"/>
    <w:rsid w:val="0035702E"/>
    <w:rsid w:val="00357C85"/>
    <w:rsid w:val="00357CBA"/>
    <w:rsid w:val="00360052"/>
    <w:rsid w:val="00360BA3"/>
    <w:rsid w:val="0036349C"/>
    <w:rsid w:val="00363898"/>
    <w:rsid w:val="003638AD"/>
    <w:rsid w:val="00363D84"/>
    <w:rsid w:val="00363E1C"/>
    <w:rsid w:val="00365868"/>
    <w:rsid w:val="003670D7"/>
    <w:rsid w:val="003702D4"/>
    <w:rsid w:val="00370782"/>
    <w:rsid w:val="00371395"/>
    <w:rsid w:val="00371694"/>
    <w:rsid w:val="003716B7"/>
    <w:rsid w:val="003717E8"/>
    <w:rsid w:val="00372CB4"/>
    <w:rsid w:val="003739AF"/>
    <w:rsid w:val="00373B66"/>
    <w:rsid w:val="00373EC4"/>
    <w:rsid w:val="00374B5B"/>
    <w:rsid w:val="0037559B"/>
    <w:rsid w:val="00376B84"/>
    <w:rsid w:val="00376CC1"/>
    <w:rsid w:val="00377A58"/>
    <w:rsid w:val="00377B67"/>
    <w:rsid w:val="003807A9"/>
    <w:rsid w:val="00381752"/>
    <w:rsid w:val="00381931"/>
    <w:rsid w:val="00381B0B"/>
    <w:rsid w:val="00382CBC"/>
    <w:rsid w:val="00383AC4"/>
    <w:rsid w:val="003844F8"/>
    <w:rsid w:val="00385136"/>
    <w:rsid w:val="00385327"/>
    <w:rsid w:val="00386338"/>
    <w:rsid w:val="00387479"/>
    <w:rsid w:val="00387C80"/>
    <w:rsid w:val="00387D57"/>
    <w:rsid w:val="00390743"/>
    <w:rsid w:val="00391641"/>
    <w:rsid w:val="00391896"/>
    <w:rsid w:val="00391C16"/>
    <w:rsid w:val="00392534"/>
    <w:rsid w:val="003941BA"/>
    <w:rsid w:val="00394CF8"/>
    <w:rsid w:val="00395DF4"/>
    <w:rsid w:val="00397074"/>
    <w:rsid w:val="003A066D"/>
    <w:rsid w:val="003A0C9D"/>
    <w:rsid w:val="003A2925"/>
    <w:rsid w:val="003A3053"/>
    <w:rsid w:val="003A49B4"/>
    <w:rsid w:val="003A5B3A"/>
    <w:rsid w:val="003A64BC"/>
    <w:rsid w:val="003A690D"/>
    <w:rsid w:val="003A6A20"/>
    <w:rsid w:val="003A6A29"/>
    <w:rsid w:val="003A6D19"/>
    <w:rsid w:val="003A7153"/>
    <w:rsid w:val="003B0652"/>
    <w:rsid w:val="003B1541"/>
    <w:rsid w:val="003B1DF2"/>
    <w:rsid w:val="003B251D"/>
    <w:rsid w:val="003B2BC5"/>
    <w:rsid w:val="003B38BF"/>
    <w:rsid w:val="003B42AD"/>
    <w:rsid w:val="003B61DC"/>
    <w:rsid w:val="003B721F"/>
    <w:rsid w:val="003B79A6"/>
    <w:rsid w:val="003C03F7"/>
    <w:rsid w:val="003C18F1"/>
    <w:rsid w:val="003C1AB8"/>
    <w:rsid w:val="003C3CE2"/>
    <w:rsid w:val="003C71B5"/>
    <w:rsid w:val="003D02B9"/>
    <w:rsid w:val="003D05B8"/>
    <w:rsid w:val="003D0C6F"/>
    <w:rsid w:val="003D1568"/>
    <w:rsid w:val="003D1E0E"/>
    <w:rsid w:val="003D209F"/>
    <w:rsid w:val="003D2474"/>
    <w:rsid w:val="003D2C89"/>
    <w:rsid w:val="003D30EE"/>
    <w:rsid w:val="003D4551"/>
    <w:rsid w:val="003D58B1"/>
    <w:rsid w:val="003E1F22"/>
    <w:rsid w:val="003E24D2"/>
    <w:rsid w:val="003E3855"/>
    <w:rsid w:val="003E5586"/>
    <w:rsid w:val="003E56C4"/>
    <w:rsid w:val="003E5A22"/>
    <w:rsid w:val="003E70A8"/>
    <w:rsid w:val="003F0B23"/>
    <w:rsid w:val="003F2297"/>
    <w:rsid w:val="003F2312"/>
    <w:rsid w:val="003F2A47"/>
    <w:rsid w:val="003F2D51"/>
    <w:rsid w:val="003F3CC4"/>
    <w:rsid w:val="003F5686"/>
    <w:rsid w:val="003F6D90"/>
    <w:rsid w:val="004007D6"/>
    <w:rsid w:val="00402CD4"/>
    <w:rsid w:val="00404270"/>
    <w:rsid w:val="00404F49"/>
    <w:rsid w:val="00405B55"/>
    <w:rsid w:val="004063FA"/>
    <w:rsid w:val="004100D0"/>
    <w:rsid w:val="00412629"/>
    <w:rsid w:val="00412DB4"/>
    <w:rsid w:val="00413A66"/>
    <w:rsid w:val="00415F56"/>
    <w:rsid w:val="00416823"/>
    <w:rsid w:val="004173E7"/>
    <w:rsid w:val="00420FF2"/>
    <w:rsid w:val="00421371"/>
    <w:rsid w:val="00423749"/>
    <w:rsid w:val="00424B72"/>
    <w:rsid w:val="00425172"/>
    <w:rsid w:val="00426BFC"/>
    <w:rsid w:val="004318B1"/>
    <w:rsid w:val="00431C3E"/>
    <w:rsid w:val="00432A1C"/>
    <w:rsid w:val="00432F14"/>
    <w:rsid w:val="00434DD9"/>
    <w:rsid w:val="00435683"/>
    <w:rsid w:val="00437953"/>
    <w:rsid w:val="004404AA"/>
    <w:rsid w:val="00440D21"/>
    <w:rsid w:val="00440E77"/>
    <w:rsid w:val="004411B4"/>
    <w:rsid w:val="004423EB"/>
    <w:rsid w:val="00443374"/>
    <w:rsid w:val="00444E04"/>
    <w:rsid w:val="00444F2D"/>
    <w:rsid w:val="004451C1"/>
    <w:rsid w:val="0044628A"/>
    <w:rsid w:val="0045017E"/>
    <w:rsid w:val="00452689"/>
    <w:rsid w:val="00453211"/>
    <w:rsid w:val="004539CC"/>
    <w:rsid w:val="004548A9"/>
    <w:rsid w:val="00454F92"/>
    <w:rsid w:val="00456338"/>
    <w:rsid w:val="00457365"/>
    <w:rsid w:val="00457A77"/>
    <w:rsid w:val="00457F93"/>
    <w:rsid w:val="004602D0"/>
    <w:rsid w:val="00460C28"/>
    <w:rsid w:val="00460FD5"/>
    <w:rsid w:val="0046114B"/>
    <w:rsid w:val="004622D7"/>
    <w:rsid w:val="00463713"/>
    <w:rsid w:val="00463F3A"/>
    <w:rsid w:val="00470B60"/>
    <w:rsid w:val="004710CD"/>
    <w:rsid w:val="0047193C"/>
    <w:rsid w:val="004724B9"/>
    <w:rsid w:val="00472FDD"/>
    <w:rsid w:val="0047512F"/>
    <w:rsid w:val="00475665"/>
    <w:rsid w:val="00476845"/>
    <w:rsid w:val="00476DD0"/>
    <w:rsid w:val="00477977"/>
    <w:rsid w:val="00481BAD"/>
    <w:rsid w:val="00481E37"/>
    <w:rsid w:val="0048229D"/>
    <w:rsid w:val="004823CC"/>
    <w:rsid w:val="00484D1E"/>
    <w:rsid w:val="0048523F"/>
    <w:rsid w:val="004866DA"/>
    <w:rsid w:val="00487054"/>
    <w:rsid w:val="00487A41"/>
    <w:rsid w:val="004932DF"/>
    <w:rsid w:val="00493554"/>
    <w:rsid w:val="00495300"/>
    <w:rsid w:val="00495FA9"/>
    <w:rsid w:val="00497B0F"/>
    <w:rsid w:val="004A0098"/>
    <w:rsid w:val="004A00F7"/>
    <w:rsid w:val="004A1C96"/>
    <w:rsid w:val="004A2167"/>
    <w:rsid w:val="004A3050"/>
    <w:rsid w:val="004A3759"/>
    <w:rsid w:val="004A4CF9"/>
    <w:rsid w:val="004A530C"/>
    <w:rsid w:val="004A594A"/>
    <w:rsid w:val="004A5B27"/>
    <w:rsid w:val="004A5B6D"/>
    <w:rsid w:val="004A6690"/>
    <w:rsid w:val="004B0356"/>
    <w:rsid w:val="004B09E2"/>
    <w:rsid w:val="004B134F"/>
    <w:rsid w:val="004B1B33"/>
    <w:rsid w:val="004B2789"/>
    <w:rsid w:val="004B362F"/>
    <w:rsid w:val="004B3723"/>
    <w:rsid w:val="004B52A8"/>
    <w:rsid w:val="004B606D"/>
    <w:rsid w:val="004B6628"/>
    <w:rsid w:val="004B6E6A"/>
    <w:rsid w:val="004C19F3"/>
    <w:rsid w:val="004C1ECA"/>
    <w:rsid w:val="004C39B3"/>
    <w:rsid w:val="004C3F25"/>
    <w:rsid w:val="004C4238"/>
    <w:rsid w:val="004C4ED6"/>
    <w:rsid w:val="004C57B0"/>
    <w:rsid w:val="004C5D0D"/>
    <w:rsid w:val="004C6B75"/>
    <w:rsid w:val="004C774C"/>
    <w:rsid w:val="004D02AF"/>
    <w:rsid w:val="004D1685"/>
    <w:rsid w:val="004D1A99"/>
    <w:rsid w:val="004D1B34"/>
    <w:rsid w:val="004D28FA"/>
    <w:rsid w:val="004D2A23"/>
    <w:rsid w:val="004D2CFB"/>
    <w:rsid w:val="004D3090"/>
    <w:rsid w:val="004D399B"/>
    <w:rsid w:val="004D3AE9"/>
    <w:rsid w:val="004D51A1"/>
    <w:rsid w:val="004D64C5"/>
    <w:rsid w:val="004D7092"/>
    <w:rsid w:val="004D788D"/>
    <w:rsid w:val="004E0295"/>
    <w:rsid w:val="004E0BA3"/>
    <w:rsid w:val="004E35F8"/>
    <w:rsid w:val="004E4F24"/>
    <w:rsid w:val="004E529E"/>
    <w:rsid w:val="004E6874"/>
    <w:rsid w:val="004F14C0"/>
    <w:rsid w:val="004F4A98"/>
    <w:rsid w:val="004F695B"/>
    <w:rsid w:val="004F6B8F"/>
    <w:rsid w:val="004F7502"/>
    <w:rsid w:val="004F7BDF"/>
    <w:rsid w:val="00503B2C"/>
    <w:rsid w:val="00503B63"/>
    <w:rsid w:val="00503B66"/>
    <w:rsid w:val="00504C18"/>
    <w:rsid w:val="005050C8"/>
    <w:rsid w:val="005057A5"/>
    <w:rsid w:val="00505B53"/>
    <w:rsid w:val="00506812"/>
    <w:rsid w:val="00506B39"/>
    <w:rsid w:val="0050782B"/>
    <w:rsid w:val="00507870"/>
    <w:rsid w:val="0051131F"/>
    <w:rsid w:val="00511D19"/>
    <w:rsid w:val="00512102"/>
    <w:rsid w:val="005127B3"/>
    <w:rsid w:val="00513395"/>
    <w:rsid w:val="005133A6"/>
    <w:rsid w:val="00513859"/>
    <w:rsid w:val="00513AA5"/>
    <w:rsid w:val="00513E85"/>
    <w:rsid w:val="0051498C"/>
    <w:rsid w:val="00516391"/>
    <w:rsid w:val="00517A64"/>
    <w:rsid w:val="00521CE4"/>
    <w:rsid w:val="0052303E"/>
    <w:rsid w:val="00523925"/>
    <w:rsid w:val="00525F1E"/>
    <w:rsid w:val="00525FED"/>
    <w:rsid w:val="005264FC"/>
    <w:rsid w:val="005312E4"/>
    <w:rsid w:val="00531836"/>
    <w:rsid w:val="00532E62"/>
    <w:rsid w:val="005330D0"/>
    <w:rsid w:val="0053326A"/>
    <w:rsid w:val="00533F68"/>
    <w:rsid w:val="005359C9"/>
    <w:rsid w:val="00540857"/>
    <w:rsid w:val="0054091A"/>
    <w:rsid w:val="005448A4"/>
    <w:rsid w:val="00545820"/>
    <w:rsid w:val="005465BE"/>
    <w:rsid w:val="0054695E"/>
    <w:rsid w:val="00547A2F"/>
    <w:rsid w:val="00547A35"/>
    <w:rsid w:val="00547A92"/>
    <w:rsid w:val="00550094"/>
    <w:rsid w:val="00550B23"/>
    <w:rsid w:val="00550CD0"/>
    <w:rsid w:val="00551848"/>
    <w:rsid w:val="00551BF4"/>
    <w:rsid w:val="00552E0D"/>
    <w:rsid w:val="00553120"/>
    <w:rsid w:val="00553730"/>
    <w:rsid w:val="00554482"/>
    <w:rsid w:val="00554AC1"/>
    <w:rsid w:val="00556B28"/>
    <w:rsid w:val="00556EB9"/>
    <w:rsid w:val="00560F87"/>
    <w:rsid w:val="00562A39"/>
    <w:rsid w:val="005638B0"/>
    <w:rsid w:val="0056551F"/>
    <w:rsid w:val="0056619F"/>
    <w:rsid w:val="00566939"/>
    <w:rsid w:val="005706DC"/>
    <w:rsid w:val="005710F2"/>
    <w:rsid w:val="00571284"/>
    <w:rsid w:val="005732F8"/>
    <w:rsid w:val="00573AD2"/>
    <w:rsid w:val="00573C41"/>
    <w:rsid w:val="0057539D"/>
    <w:rsid w:val="00575548"/>
    <w:rsid w:val="00575DC1"/>
    <w:rsid w:val="005764E4"/>
    <w:rsid w:val="00576CC7"/>
    <w:rsid w:val="005778D0"/>
    <w:rsid w:val="0058035C"/>
    <w:rsid w:val="0058081B"/>
    <w:rsid w:val="00580F91"/>
    <w:rsid w:val="00581B46"/>
    <w:rsid w:val="0058217F"/>
    <w:rsid w:val="0058225B"/>
    <w:rsid w:val="00582394"/>
    <w:rsid w:val="005838F0"/>
    <w:rsid w:val="00583FC6"/>
    <w:rsid w:val="00585738"/>
    <w:rsid w:val="005861C2"/>
    <w:rsid w:val="00587A24"/>
    <w:rsid w:val="00590993"/>
    <w:rsid w:val="00591906"/>
    <w:rsid w:val="00592372"/>
    <w:rsid w:val="005930D5"/>
    <w:rsid w:val="005933A9"/>
    <w:rsid w:val="0059375D"/>
    <w:rsid w:val="00593992"/>
    <w:rsid w:val="00593E8F"/>
    <w:rsid w:val="00594DB8"/>
    <w:rsid w:val="00597B1C"/>
    <w:rsid w:val="005A18EE"/>
    <w:rsid w:val="005A21D1"/>
    <w:rsid w:val="005A2BB5"/>
    <w:rsid w:val="005A2DF7"/>
    <w:rsid w:val="005A38C9"/>
    <w:rsid w:val="005A3ECA"/>
    <w:rsid w:val="005A471E"/>
    <w:rsid w:val="005A4BB2"/>
    <w:rsid w:val="005A4CFF"/>
    <w:rsid w:val="005A7B5F"/>
    <w:rsid w:val="005A7F8B"/>
    <w:rsid w:val="005B2DF9"/>
    <w:rsid w:val="005B4CB3"/>
    <w:rsid w:val="005B643B"/>
    <w:rsid w:val="005B65FE"/>
    <w:rsid w:val="005C1A37"/>
    <w:rsid w:val="005C247B"/>
    <w:rsid w:val="005C2698"/>
    <w:rsid w:val="005C3A63"/>
    <w:rsid w:val="005C487A"/>
    <w:rsid w:val="005C5F60"/>
    <w:rsid w:val="005C6DA9"/>
    <w:rsid w:val="005C6E55"/>
    <w:rsid w:val="005C7E97"/>
    <w:rsid w:val="005D0DC1"/>
    <w:rsid w:val="005D13C1"/>
    <w:rsid w:val="005D1709"/>
    <w:rsid w:val="005D1FB0"/>
    <w:rsid w:val="005D1FD2"/>
    <w:rsid w:val="005D27B9"/>
    <w:rsid w:val="005D2C69"/>
    <w:rsid w:val="005D2FF8"/>
    <w:rsid w:val="005D50ED"/>
    <w:rsid w:val="005D676C"/>
    <w:rsid w:val="005D7029"/>
    <w:rsid w:val="005D75D5"/>
    <w:rsid w:val="005E001C"/>
    <w:rsid w:val="005E055E"/>
    <w:rsid w:val="005E0654"/>
    <w:rsid w:val="005E1218"/>
    <w:rsid w:val="005E38EF"/>
    <w:rsid w:val="005E56E4"/>
    <w:rsid w:val="005E6610"/>
    <w:rsid w:val="005F5CCE"/>
    <w:rsid w:val="00600BF4"/>
    <w:rsid w:val="00601328"/>
    <w:rsid w:val="0060209D"/>
    <w:rsid w:val="00603657"/>
    <w:rsid w:val="00603AF7"/>
    <w:rsid w:val="00603D7A"/>
    <w:rsid w:val="0060461F"/>
    <w:rsid w:val="006067DD"/>
    <w:rsid w:val="00607335"/>
    <w:rsid w:val="006102C1"/>
    <w:rsid w:val="00610D52"/>
    <w:rsid w:val="006118DA"/>
    <w:rsid w:val="00611F2C"/>
    <w:rsid w:val="00612C7B"/>
    <w:rsid w:val="00614947"/>
    <w:rsid w:val="0061497B"/>
    <w:rsid w:val="00614CFB"/>
    <w:rsid w:val="00617161"/>
    <w:rsid w:val="006235A4"/>
    <w:rsid w:val="00625311"/>
    <w:rsid w:val="00626401"/>
    <w:rsid w:val="006266F8"/>
    <w:rsid w:val="00626F9A"/>
    <w:rsid w:val="006279B4"/>
    <w:rsid w:val="00630811"/>
    <w:rsid w:val="00630D74"/>
    <w:rsid w:val="00631117"/>
    <w:rsid w:val="0063157B"/>
    <w:rsid w:val="00631CBD"/>
    <w:rsid w:val="00632958"/>
    <w:rsid w:val="006334DA"/>
    <w:rsid w:val="006355BF"/>
    <w:rsid w:val="0063659F"/>
    <w:rsid w:val="0063726F"/>
    <w:rsid w:val="00637DE4"/>
    <w:rsid w:val="0064065D"/>
    <w:rsid w:val="00643EEB"/>
    <w:rsid w:val="00644ED7"/>
    <w:rsid w:val="00645593"/>
    <w:rsid w:val="0064565C"/>
    <w:rsid w:val="0064600D"/>
    <w:rsid w:val="0064625B"/>
    <w:rsid w:val="00646848"/>
    <w:rsid w:val="00647AE7"/>
    <w:rsid w:val="00650683"/>
    <w:rsid w:val="00650F21"/>
    <w:rsid w:val="00651483"/>
    <w:rsid w:val="00651C0F"/>
    <w:rsid w:val="00654EAF"/>
    <w:rsid w:val="00655590"/>
    <w:rsid w:val="00657176"/>
    <w:rsid w:val="0066126D"/>
    <w:rsid w:val="006617A5"/>
    <w:rsid w:val="00661A6C"/>
    <w:rsid w:val="00662D0A"/>
    <w:rsid w:val="00663BA8"/>
    <w:rsid w:val="00664496"/>
    <w:rsid w:val="00664926"/>
    <w:rsid w:val="00664A25"/>
    <w:rsid w:val="00664C95"/>
    <w:rsid w:val="006653CA"/>
    <w:rsid w:val="0066590E"/>
    <w:rsid w:val="006661A8"/>
    <w:rsid w:val="006662F3"/>
    <w:rsid w:val="00667530"/>
    <w:rsid w:val="006724A0"/>
    <w:rsid w:val="00672C05"/>
    <w:rsid w:val="00673047"/>
    <w:rsid w:val="00673C02"/>
    <w:rsid w:val="006751F9"/>
    <w:rsid w:val="0067609A"/>
    <w:rsid w:val="00676ADA"/>
    <w:rsid w:val="00676C20"/>
    <w:rsid w:val="00677BD0"/>
    <w:rsid w:val="00680885"/>
    <w:rsid w:val="006829CD"/>
    <w:rsid w:val="00682B24"/>
    <w:rsid w:val="00683E7E"/>
    <w:rsid w:val="006847BC"/>
    <w:rsid w:val="00684F91"/>
    <w:rsid w:val="00685150"/>
    <w:rsid w:val="006853B4"/>
    <w:rsid w:val="00685408"/>
    <w:rsid w:val="006856D8"/>
    <w:rsid w:val="00691229"/>
    <w:rsid w:val="006915CC"/>
    <w:rsid w:val="00692420"/>
    <w:rsid w:val="0069272F"/>
    <w:rsid w:val="00693580"/>
    <w:rsid w:val="00693686"/>
    <w:rsid w:val="00694D49"/>
    <w:rsid w:val="00695974"/>
    <w:rsid w:val="00696266"/>
    <w:rsid w:val="00696E61"/>
    <w:rsid w:val="006A5952"/>
    <w:rsid w:val="006A60E1"/>
    <w:rsid w:val="006B02E5"/>
    <w:rsid w:val="006B0CDA"/>
    <w:rsid w:val="006B0E25"/>
    <w:rsid w:val="006B1618"/>
    <w:rsid w:val="006B1F02"/>
    <w:rsid w:val="006B4029"/>
    <w:rsid w:val="006B7419"/>
    <w:rsid w:val="006B7FA0"/>
    <w:rsid w:val="006C04F4"/>
    <w:rsid w:val="006C15F1"/>
    <w:rsid w:val="006C23DD"/>
    <w:rsid w:val="006C3AFA"/>
    <w:rsid w:val="006C445E"/>
    <w:rsid w:val="006C5242"/>
    <w:rsid w:val="006C6203"/>
    <w:rsid w:val="006C6520"/>
    <w:rsid w:val="006C77D4"/>
    <w:rsid w:val="006C7CD6"/>
    <w:rsid w:val="006D036B"/>
    <w:rsid w:val="006D2F49"/>
    <w:rsid w:val="006D369F"/>
    <w:rsid w:val="006D3F3B"/>
    <w:rsid w:val="006D4A16"/>
    <w:rsid w:val="006D5BBC"/>
    <w:rsid w:val="006D5EC0"/>
    <w:rsid w:val="006D61A3"/>
    <w:rsid w:val="006D6968"/>
    <w:rsid w:val="006E0604"/>
    <w:rsid w:val="006E3B9B"/>
    <w:rsid w:val="006E5A50"/>
    <w:rsid w:val="006E6766"/>
    <w:rsid w:val="006E6CFB"/>
    <w:rsid w:val="006F08C7"/>
    <w:rsid w:val="006F2352"/>
    <w:rsid w:val="006F238D"/>
    <w:rsid w:val="006F27A8"/>
    <w:rsid w:val="006F308D"/>
    <w:rsid w:val="006F37F0"/>
    <w:rsid w:val="006F40B6"/>
    <w:rsid w:val="006F566D"/>
    <w:rsid w:val="006F5E36"/>
    <w:rsid w:val="006F6458"/>
    <w:rsid w:val="006F7AE5"/>
    <w:rsid w:val="0070044C"/>
    <w:rsid w:val="00700BA1"/>
    <w:rsid w:val="00701A76"/>
    <w:rsid w:val="00702191"/>
    <w:rsid w:val="00703283"/>
    <w:rsid w:val="00703C0A"/>
    <w:rsid w:val="00710D69"/>
    <w:rsid w:val="007127F2"/>
    <w:rsid w:val="007153C3"/>
    <w:rsid w:val="00715737"/>
    <w:rsid w:val="007160AB"/>
    <w:rsid w:val="0071637F"/>
    <w:rsid w:val="00716A46"/>
    <w:rsid w:val="0072006D"/>
    <w:rsid w:val="00720587"/>
    <w:rsid w:val="00722839"/>
    <w:rsid w:val="00722DCD"/>
    <w:rsid w:val="00724FB6"/>
    <w:rsid w:val="00727B6C"/>
    <w:rsid w:val="00730964"/>
    <w:rsid w:val="007310B5"/>
    <w:rsid w:val="00732608"/>
    <w:rsid w:val="00732D3D"/>
    <w:rsid w:val="00736328"/>
    <w:rsid w:val="00740826"/>
    <w:rsid w:val="00741073"/>
    <w:rsid w:val="00741686"/>
    <w:rsid w:val="007418D4"/>
    <w:rsid w:val="007422E8"/>
    <w:rsid w:val="00742914"/>
    <w:rsid w:val="00743E22"/>
    <w:rsid w:val="007470F6"/>
    <w:rsid w:val="007472AF"/>
    <w:rsid w:val="00751BBE"/>
    <w:rsid w:val="00751E8E"/>
    <w:rsid w:val="00752F58"/>
    <w:rsid w:val="00753CBE"/>
    <w:rsid w:val="007550CD"/>
    <w:rsid w:val="00755856"/>
    <w:rsid w:val="00755983"/>
    <w:rsid w:val="00755AF9"/>
    <w:rsid w:val="00756AED"/>
    <w:rsid w:val="007577E7"/>
    <w:rsid w:val="00757BA6"/>
    <w:rsid w:val="0076016C"/>
    <w:rsid w:val="0076067C"/>
    <w:rsid w:val="00761651"/>
    <w:rsid w:val="00762B6E"/>
    <w:rsid w:val="007631E5"/>
    <w:rsid w:val="00765FC4"/>
    <w:rsid w:val="00766F02"/>
    <w:rsid w:val="00771D17"/>
    <w:rsid w:val="00771E16"/>
    <w:rsid w:val="00772610"/>
    <w:rsid w:val="007732A0"/>
    <w:rsid w:val="007735C4"/>
    <w:rsid w:val="00774ABF"/>
    <w:rsid w:val="0077504C"/>
    <w:rsid w:val="0077574C"/>
    <w:rsid w:val="007775E9"/>
    <w:rsid w:val="00777F47"/>
    <w:rsid w:val="00780BDF"/>
    <w:rsid w:val="00780DCA"/>
    <w:rsid w:val="0078133E"/>
    <w:rsid w:val="00781A11"/>
    <w:rsid w:val="00781EAE"/>
    <w:rsid w:val="00783B62"/>
    <w:rsid w:val="007849FF"/>
    <w:rsid w:val="00785E08"/>
    <w:rsid w:val="00785E1C"/>
    <w:rsid w:val="00787215"/>
    <w:rsid w:val="00790098"/>
    <w:rsid w:val="00790B91"/>
    <w:rsid w:val="007918B1"/>
    <w:rsid w:val="00791C62"/>
    <w:rsid w:val="0079463A"/>
    <w:rsid w:val="0079556E"/>
    <w:rsid w:val="00795842"/>
    <w:rsid w:val="00795DD8"/>
    <w:rsid w:val="007A53FA"/>
    <w:rsid w:val="007A6AB0"/>
    <w:rsid w:val="007A6F9E"/>
    <w:rsid w:val="007B0C13"/>
    <w:rsid w:val="007B144E"/>
    <w:rsid w:val="007B20BB"/>
    <w:rsid w:val="007B2355"/>
    <w:rsid w:val="007B2356"/>
    <w:rsid w:val="007B6D39"/>
    <w:rsid w:val="007C05D2"/>
    <w:rsid w:val="007C1261"/>
    <w:rsid w:val="007C1526"/>
    <w:rsid w:val="007C29C2"/>
    <w:rsid w:val="007C426D"/>
    <w:rsid w:val="007C50C5"/>
    <w:rsid w:val="007C5347"/>
    <w:rsid w:val="007C66DC"/>
    <w:rsid w:val="007D02D0"/>
    <w:rsid w:val="007D119C"/>
    <w:rsid w:val="007D1BA0"/>
    <w:rsid w:val="007D1BBF"/>
    <w:rsid w:val="007D2C34"/>
    <w:rsid w:val="007D311C"/>
    <w:rsid w:val="007D411B"/>
    <w:rsid w:val="007D5853"/>
    <w:rsid w:val="007D7B8F"/>
    <w:rsid w:val="007D7F08"/>
    <w:rsid w:val="007E29E5"/>
    <w:rsid w:val="007E2B02"/>
    <w:rsid w:val="007E4217"/>
    <w:rsid w:val="007E4FC4"/>
    <w:rsid w:val="007E54F7"/>
    <w:rsid w:val="007E5948"/>
    <w:rsid w:val="007E644C"/>
    <w:rsid w:val="007E7653"/>
    <w:rsid w:val="007E770E"/>
    <w:rsid w:val="007F0B40"/>
    <w:rsid w:val="007F0F82"/>
    <w:rsid w:val="007F11AB"/>
    <w:rsid w:val="007F1E4A"/>
    <w:rsid w:val="007F2AF9"/>
    <w:rsid w:val="007F2CBE"/>
    <w:rsid w:val="007F3370"/>
    <w:rsid w:val="007F3CB9"/>
    <w:rsid w:val="007F3EF3"/>
    <w:rsid w:val="007F44B2"/>
    <w:rsid w:val="007F522B"/>
    <w:rsid w:val="007F6949"/>
    <w:rsid w:val="007F6E16"/>
    <w:rsid w:val="008009CA"/>
    <w:rsid w:val="00800B5B"/>
    <w:rsid w:val="008013A4"/>
    <w:rsid w:val="00801557"/>
    <w:rsid w:val="00801749"/>
    <w:rsid w:val="00801D66"/>
    <w:rsid w:val="0080226A"/>
    <w:rsid w:val="00802DC9"/>
    <w:rsid w:val="008030ED"/>
    <w:rsid w:val="00805F15"/>
    <w:rsid w:val="008074B2"/>
    <w:rsid w:val="0080767D"/>
    <w:rsid w:val="008076DE"/>
    <w:rsid w:val="00807736"/>
    <w:rsid w:val="00811337"/>
    <w:rsid w:val="0081197E"/>
    <w:rsid w:val="00812B61"/>
    <w:rsid w:val="008141E0"/>
    <w:rsid w:val="008156E7"/>
    <w:rsid w:val="008157CF"/>
    <w:rsid w:val="0081616C"/>
    <w:rsid w:val="008164BF"/>
    <w:rsid w:val="00816858"/>
    <w:rsid w:val="00816BA3"/>
    <w:rsid w:val="00816BBF"/>
    <w:rsid w:val="0081759F"/>
    <w:rsid w:val="00817A52"/>
    <w:rsid w:val="00820167"/>
    <w:rsid w:val="00820349"/>
    <w:rsid w:val="00821B2D"/>
    <w:rsid w:val="008224D8"/>
    <w:rsid w:val="00823229"/>
    <w:rsid w:val="0082369C"/>
    <w:rsid w:val="00824B6D"/>
    <w:rsid w:val="00826B28"/>
    <w:rsid w:val="0083004E"/>
    <w:rsid w:val="0083112B"/>
    <w:rsid w:val="00831DDE"/>
    <w:rsid w:val="00831FDB"/>
    <w:rsid w:val="00832DA2"/>
    <w:rsid w:val="008331A9"/>
    <w:rsid w:val="008365C9"/>
    <w:rsid w:val="008403BA"/>
    <w:rsid w:val="00841704"/>
    <w:rsid w:val="00841E5E"/>
    <w:rsid w:val="00842CDA"/>
    <w:rsid w:val="00843953"/>
    <w:rsid w:val="008443D5"/>
    <w:rsid w:val="00845932"/>
    <w:rsid w:val="00845CE7"/>
    <w:rsid w:val="008463F6"/>
    <w:rsid w:val="00850170"/>
    <w:rsid w:val="0085248F"/>
    <w:rsid w:val="00852A01"/>
    <w:rsid w:val="008562C0"/>
    <w:rsid w:val="00856491"/>
    <w:rsid w:val="008568A7"/>
    <w:rsid w:val="00856BCA"/>
    <w:rsid w:val="00860342"/>
    <w:rsid w:val="008603CA"/>
    <w:rsid w:val="00861D26"/>
    <w:rsid w:val="00862C58"/>
    <w:rsid w:val="00863316"/>
    <w:rsid w:val="008640CE"/>
    <w:rsid w:val="008652EA"/>
    <w:rsid w:val="0086588F"/>
    <w:rsid w:val="00866B4F"/>
    <w:rsid w:val="008677D7"/>
    <w:rsid w:val="00867D7B"/>
    <w:rsid w:val="00872262"/>
    <w:rsid w:val="00872B8E"/>
    <w:rsid w:val="00874FF0"/>
    <w:rsid w:val="00876D66"/>
    <w:rsid w:val="008803AD"/>
    <w:rsid w:val="008809B5"/>
    <w:rsid w:val="00880EDC"/>
    <w:rsid w:val="0088407D"/>
    <w:rsid w:val="00884332"/>
    <w:rsid w:val="008846DC"/>
    <w:rsid w:val="0088496D"/>
    <w:rsid w:val="008869B1"/>
    <w:rsid w:val="00887374"/>
    <w:rsid w:val="008909F3"/>
    <w:rsid w:val="008917FA"/>
    <w:rsid w:val="00891C10"/>
    <w:rsid w:val="00892F5D"/>
    <w:rsid w:val="0089348E"/>
    <w:rsid w:val="0089369A"/>
    <w:rsid w:val="008938DB"/>
    <w:rsid w:val="008938EE"/>
    <w:rsid w:val="00893EBD"/>
    <w:rsid w:val="008944DD"/>
    <w:rsid w:val="008963A0"/>
    <w:rsid w:val="008A0EE1"/>
    <w:rsid w:val="008A1536"/>
    <w:rsid w:val="008A1B4A"/>
    <w:rsid w:val="008A1D0D"/>
    <w:rsid w:val="008A25CE"/>
    <w:rsid w:val="008A298B"/>
    <w:rsid w:val="008A311B"/>
    <w:rsid w:val="008A3210"/>
    <w:rsid w:val="008A3BFC"/>
    <w:rsid w:val="008A48F1"/>
    <w:rsid w:val="008A5CAA"/>
    <w:rsid w:val="008A677C"/>
    <w:rsid w:val="008A719B"/>
    <w:rsid w:val="008B1919"/>
    <w:rsid w:val="008B2137"/>
    <w:rsid w:val="008B2A74"/>
    <w:rsid w:val="008B3183"/>
    <w:rsid w:val="008B3212"/>
    <w:rsid w:val="008B3DDE"/>
    <w:rsid w:val="008B5D2A"/>
    <w:rsid w:val="008B6723"/>
    <w:rsid w:val="008B7596"/>
    <w:rsid w:val="008B75E8"/>
    <w:rsid w:val="008B77E0"/>
    <w:rsid w:val="008C0CC8"/>
    <w:rsid w:val="008C216D"/>
    <w:rsid w:val="008C28CB"/>
    <w:rsid w:val="008C6DBF"/>
    <w:rsid w:val="008C7F8F"/>
    <w:rsid w:val="008D00C0"/>
    <w:rsid w:val="008D09A2"/>
    <w:rsid w:val="008D3004"/>
    <w:rsid w:val="008D3584"/>
    <w:rsid w:val="008D3715"/>
    <w:rsid w:val="008D71F0"/>
    <w:rsid w:val="008D797D"/>
    <w:rsid w:val="008E030A"/>
    <w:rsid w:val="008E0588"/>
    <w:rsid w:val="008E0949"/>
    <w:rsid w:val="008E10BF"/>
    <w:rsid w:val="008E18C1"/>
    <w:rsid w:val="008E196F"/>
    <w:rsid w:val="008E1ACC"/>
    <w:rsid w:val="008E3136"/>
    <w:rsid w:val="008E42ED"/>
    <w:rsid w:val="008E4E68"/>
    <w:rsid w:val="008E5372"/>
    <w:rsid w:val="008E6882"/>
    <w:rsid w:val="008E7471"/>
    <w:rsid w:val="008F0E77"/>
    <w:rsid w:val="008F245A"/>
    <w:rsid w:val="008F461E"/>
    <w:rsid w:val="008F4834"/>
    <w:rsid w:val="008F4E1F"/>
    <w:rsid w:val="008F5646"/>
    <w:rsid w:val="008F57A9"/>
    <w:rsid w:val="008F5D02"/>
    <w:rsid w:val="008F6066"/>
    <w:rsid w:val="008F61EF"/>
    <w:rsid w:val="008F64EB"/>
    <w:rsid w:val="008F655F"/>
    <w:rsid w:val="008F66A1"/>
    <w:rsid w:val="00900DA5"/>
    <w:rsid w:val="00901ABA"/>
    <w:rsid w:val="0090259A"/>
    <w:rsid w:val="0090331D"/>
    <w:rsid w:val="00903583"/>
    <w:rsid w:val="009045A9"/>
    <w:rsid w:val="00906F5E"/>
    <w:rsid w:val="00910FDC"/>
    <w:rsid w:val="00912E8F"/>
    <w:rsid w:val="00913000"/>
    <w:rsid w:val="0091306D"/>
    <w:rsid w:val="0091433F"/>
    <w:rsid w:val="0091473F"/>
    <w:rsid w:val="00914FED"/>
    <w:rsid w:val="00915724"/>
    <w:rsid w:val="00916FC5"/>
    <w:rsid w:val="00917E0C"/>
    <w:rsid w:val="00920573"/>
    <w:rsid w:val="00923683"/>
    <w:rsid w:val="0092485B"/>
    <w:rsid w:val="00925F13"/>
    <w:rsid w:val="00926A33"/>
    <w:rsid w:val="00927632"/>
    <w:rsid w:val="00930BCC"/>
    <w:rsid w:val="00930EAF"/>
    <w:rsid w:val="00934394"/>
    <w:rsid w:val="00934A84"/>
    <w:rsid w:val="0093555D"/>
    <w:rsid w:val="00935C13"/>
    <w:rsid w:val="00936096"/>
    <w:rsid w:val="00936110"/>
    <w:rsid w:val="00937D79"/>
    <w:rsid w:val="0094188F"/>
    <w:rsid w:val="009419E2"/>
    <w:rsid w:val="009424C4"/>
    <w:rsid w:val="00943EBB"/>
    <w:rsid w:val="00943ED9"/>
    <w:rsid w:val="00944AE5"/>
    <w:rsid w:val="0094627A"/>
    <w:rsid w:val="009470FB"/>
    <w:rsid w:val="009473AD"/>
    <w:rsid w:val="00950860"/>
    <w:rsid w:val="00950A3A"/>
    <w:rsid w:val="00950BD4"/>
    <w:rsid w:val="00950F4C"/>
    <w:rsid w:val="00950F7B"/>
    <w:rsid w:val="00956668"/>
    <w:rsid w:val="009574B0"/>
    <w:rsid w:val="00957EA2"/>
    <w:rsid w:val="00960CBE"/>
    <w:rsid w:val="0096121A"/>
    <w:rsid w:val="00962883"/>
    <w:rsid w:val="00962FA1"/>
    <w:rsid w:val="0096409A"/>
    <w:rsid w:val="009658B9"/>
    <w:rsid w:val="0096596A"/>
    <w:rsid w:val="009664F8"/>
    <w:rsid w:val="00970F19"/>
    <w:rsid w:val="00971E4B"/>
    <w:rsid w:val="00971F1D"/>
    <w:rsid w:val="009720A9"/>
    <w:rsid w:val="0097227F"/>
    <w:rsid w:val="009739ED"/>
    <w:rsid w:val="00973A99"/>
    <w:rsid w:val="00973B01"/>
    <w:rsid w:val="00973BC8"/>
    <w:rsid w:val="00974222"/>
    <w:rsid w:val="00975D3A"/>
    <w:rsid w:val="0097635C"/>
    <w:rsid w:val="009822A2"/>
    <w:rsid w:val="009841CE"/>
    <w:rsid w:val="00984293"/>
    <w:rsid w:val="00985181"/>
    <w:rsid w:val="009855AC"/>
    <w:rsid w:val="009879C8"/>
    <w:rsid w:val="00990E38"/>
    <w:rsid w:val="00991353"/>
    <w:rsid w:val="00991C99"/>
    <w:rsid w:val="00991EF1"/>
    <w:rsid w:val="00992283"/>
    <w:rsid w:val="009925E7"/>
    <w:rsid w:val="0099342E"/>
    <w:rsid w:val="00993DC3"/>
    <w:rsid w:val="00994203"/>
    <w:rsid w:val="0099530E"/>
    <w:rsid w:val="00995ADE"/>
    <w:rsid w:val="00997020"/>
    <w:rsid w:val="0099703B"/>
    <w:rsid w:val="0099747C"/>
    <w:rsid w:val="009A36BC"/>
    <w:rsid w:val="009A4FFF"/>
    <w:rsid w:val="009A6770"/>
    <w:rsid w:val="009A70AC"/>
    <w:rsid w:val="009A724D"/>
    <w:rsid w:val="009A7418"/>
    <w:rsid w:val="009B0FF6"/>
    <w:rsid w:val="009B2F08"/>
    <w:rsid w:val="009B40D4"/>
    <w:rsid w:val="009B4385"/>
    <w:rsid w:val="009B6AAF"/>
    <w:rsid w:val="009C2323"/>
    <w:rsid w:val="009C2675"/>
    <w:rsid w:val="009C40FD"/>
    <w:rsid w:val="009C424A"/>
    <w:rsid w:val="009C4EB0"/>
    <w:rsid w:val="009C64DB"/>
    <w:rsid w:val="009D1E15"/>
    <w:rsid w:val="009D36B9"/>
    <w:rsid w:val="009D3E42"/>
    <w:rsid w:val="009D44FF"/>
    <w:rsid w:val="009D4E98"/>
    <w:rsid w:val="009D51DF"/>
    <w:rsid w:val="009D535B"/>
    <w:rsid w:val="009D53A6"/>
    <w:rsid w:val="009D63D7"/>
    <w:rsid w:val="009D7712"/>
    <w:rsid w:val="009E02F4"/>
    <w:rsid w:val="009E1670"/>
    <w:rsid w:val="009E2BB4"/>
    <w:rsid w:val="009E3CD3"/>
    <w:rsid w:val="009E481F"/>
    <w:rsid w:val="009E5032"/>
    <w:rsid w:val="009E52E6"/>
    <w:rsid w:val="009E572D"/>
    <w:rsid w:val="009E5E3D"/>
    <w:rsid w:val="009E69BF"/>
    <w:rsid w:val="009E7689"/>
    <w:rsid w:val="009E7A75"/>
    <w:rsid w:val="009F0DE0"/>
    <w:rsid w:val="009F1C7A"/>
    <w:rsid w:val="009F25F8"/>
    <w:rsid w:val="009F33B5"/>
    <w:rsid w:val="009F41E1"/>
    <w:rsid w:val="009F4EBC"/>
    <w:rsid w:val="009F56DE"/>
    <w:rsid w:val="009F5847"/>
    <w:rsid w:val="009F605B"/>
    <w:rsid w:val="009F6115"/>
    <w:rsid w:val="009F6260"/>
    <w:rsid w:val="009F752A"/>
    <w:rsid w:val="00A014D6"/>
    <w:rsid w:val="00A01B3B"/>
    <w:rsid w:val="00A01FA6"/>
    <w:rsid w:val="00A03439"/>
    <w:rsid w:val="00A0343F"/>
    <w:rsid w:val="00A037CF"/>
    <w:rsid w:val="00A03862"/>
    <w:rsid w:val="00A039A9"/>
    <w:rsid w:val="00A04E82"/>
    <w:rsid w:val="00A04EA2"/>
    <w:rsid w:val="00A060E6"/>
    <w:rsid w:val="00A06D46"/>
    <w:rsid w:val="00A07774"/>
    <w:rsid w:val="00A1030E"/>
    <w:rsid w:val="00A1076D"/>
    <w:rsid w:val="00A10BF9"/>
    <w:rsid w:val="00A128B4"/>
    <w:rsid w:val="00A164DE"/>
    <w:rsid w:val="00A20420"/>
    <w:rsid w:val="00A21030"/>
    <w:rsid w:val="00A21F46"/>
    <w:rsid w:val="00A21FBD"/>
    <w:rsid w:val="00A226DC"/>
    <w:rsid w:val="00A23A45"/>
    <w:rsid w:val="00A25D30"/>
    <w:rsid w:val="00A266F7"/>
    <w:rsid w:val="00A26D52"/>
    <w:rsid w:val="00A26E63"/>
    <w:rsid w:val="00A27922"/>
    <w:rsid w:val="00A30A70"/>
    <w:rsid w:val="00A319F6"/>
    <w:rsid w:val="00A33774"/>
    <w:rsid w:val="00A37FC2"/>
    <w:rsid w:val="00A40436"/>
    <w:rsid w:val="00A405AC"/>
    <w:rsid w:val="00A40CD7"/>
    <w:rsid w:val="00A41497"/>
    <w:rsid w:val="00A431C5"/>
    <w:rsid w:val="00A442E2"/>
    <w:rsid w:val="00A4551C"/>
    <w:rsid w:val="00A45AE9"/>
    <w:rsid w:val="00A45E8C"/>
    <w:rsid w:val="00A4619D"/>
    <w:rsid w:val="00A46E07"/>
    <w:rsid w:val="00A476B4"/>
    <w:rsid w:val="00A5039C"/>
    <w:rsid w:val="00A50C8D"/>
    <w:rsid w:val="00A516F6"/>
    <w:rsid w:val="00A51DEC"/>
    <w:rsid w:val="00A54143"/>
    <w:rsid w:val="00A54621"/>
    <w:rsid w:val="00A54ADC"/>
    <w:rsid w:val="00A55916"/>
    <w:rsid w:val="00A5604E"/>
    <w:rsid w:val="00A575B8"/>
    <w:rsid w:val="00A608E4"/>
    <w:rsid w:val="00A61032"/>
    <w:rsid w:val="00A6218A"/>
    <w:rsid w:val="00A6288D"/>
    <w:rsid w:val="00A63ED9"/>
    <w:rsid w:val="00A64BFF"/>
    <w:rsid w:val="00A64E48"/>
    <w:rsid w:val="00A64EB4"/>
    <w:rsid w:val="00A656B4"/>
    <w:rsid w:val="00A65E73"/>
    <w:rsid w:val="00A65F3C"/>
    <w:rsid w:val="00A67588"/>
    <w:rsid w:val="00A67E18"/>
    <w:rsid w:val="00A718FB"/>
    <w:rsid w:val="00A71F08"/>
    <w:rsid w:val="00A73988"/>
    <w:rsid w:val="00A73EF8"/>
    <w:rsid w:val="00A74029"/>
    <w:rsid w:val="00A7407E"/>
    <w:rsid w:val="00A74186"/>
    <w:rsid w:val="00A750F7"/>
    <w:rsid w:val="00A77E9D"/>
    <w:rsid w:val="00A803AB"/>
    <w:rsid w:val="00A82231"/>
    <w:rsid w:val="00A82B6B"/>
    <w:rsid w:val="00A8348E"/>
    <w:rsid w:val="00A83A12"/>
    <w:rsid w:val="00A86253"/>
    <w:rsid w:val="00A86639"/>
    <w:rsid w:val="00A86C91"/>
    <w:rsid w:val="00A86FC7"/>
    <w:rsid w:val="00A872A3"/>
    <w:rsid w:val="00A87736"/>
    <w:rsid w:val="00A920C6"/>
    <w:rsid w:val="00A922F9"/>
    <w:rsid w:val="00A92416"/>
    <w:rsid w:val="00A94984"/>
    <w:rsid w:val="00A97465"/>
    <w:rsid w:val="00A97DE9"/>
    <w:rsid w:val="00AA0276"/>
    <w:rsid w:val="00AA0408"/>
    <w:rsid w:val="00AA05D3"/>
    <w:rsid w:val="00AA0AA1"/>
    <w:rsid w:val="00AA24B0"/>
    <w:rsid w:val="00AA2C7F"/>
    <w:rsid w:val="00AA34A4"/>
    <w:rsid w:val="00AA4621"/>
    <w:rsid w:val="00AA60CB"/>
    <w:rsid w:val="00AB0CAD"/>
    <w:rsid w:val="00AB16A5"/>
    <w:rsid w:val="00AB17B0"/>
    <w:rsid w:val="00AB1AB3"/>
    <w:rsid w:val="00AB25F1"/>
    <w:rsid w:val="00AB30E8"/>
    <w:rsid w:val="00AB31FB"/>
    <w:rsid w:val="00AB44EA"/>
    <w:rsid w:val="00AB52A0"/>
    <w:rsid w:val="00AB5B88"/>
    <w:rsid w:val="00AB6806"/>
    <w:rsid w:val="00AB698C"/>
    <w:rsid w:val="00AB6C5C"/>
    <w:rsid w:val="00AB77AA"/>
    <w:rsid w:val="00AC0C56"/>
    <w:rsid w:val="00AC25FD"/>
    <w:rsid w:val="00AC2A43"/>
    <w:rsid w:val="00AC35A6"/>
    <w:rsid w:val="00AC3A56"/>
    <w:rsid w:val="00AC3E9A"/>
    <w:rsid w:val="00AC46A4"/>
    <w:rsid w:val="00AC5503"/>
    <w:rsid w:val="00AD1BDF"/>
    <w:rsid w:val="00AD32BB"/>
    <w:rsid w:val="00AD39DF"/>
    <w:rsid w:val="00AD3AB7"/>
    <w:rsid w:val="00AD3E89"/>
    <w:rsid w:val="00AD4752"/>
    <w:rsid w:val="00AD48D7"/>
    <w:rsid w:val="00AD6195"/>
    <w:rsid w:val="00AE0496"/>
    <w:rsid w:val="00AE0914"/>
    <w:rsid w:val="00AE0B89"/>
    <w:rsid w:val="00AE1E24"/>
    <w:rsid w:val="00AE1F22"/>
    <w:rsid w:val="00AE24BE"/>
    <w:rsid w:val="00AE2566"/>
    <w:rsid w:val="00AE309A"/>
    <w:rsid w:val="00AE3903"/>
    <w:rsid w:val="00AE3B79"/>
    <w:rsid w:val="00AE46E3"/>
    <w:rsid w:val="00AE50E5"/>
    <w:rsid w:val="00AE5A7C"/>
    <w:rsid w:val="00AE60EE"/>
    <w:rsid w:val="00AE62DB"/>
    <w:rsid w:val="00AE69B0"/>
    <w:rsid w:val="00AE7459"/>
    <w:rsid w:val="00AE754A"/>
    <w:rsid w:val="00AE7678"/>
    <w:rsid w:val="00AF1805"/>
    <w:rsid w:val="00AF2516"/>
    <w:rsid w:val="00AF2FB1"/>
    <w:rsid w:val="00AF32E5"/>
    <w:rsid w:val="00AF3A37"/>
    <w:rsid w:val="00AF4DE9"/>
    <w:rsid w:val="00AF5864"/>
    <w:rsid w:val="00AF58F3"/>
    <w:rsid w:val="00AF7B75"/>
    <w:rsid w:val="00B00968"/>
    <w:rsid w:val="00B01ECF"/>
    <w:rsid w:val="00B034C1"/>
    <w:rsid w:val="00B042AF"/>
    <w:rsid w:val="00B06E52"/>
    <w:rsid w:val="00B07DC1"/>
    <w:rsid w:val="00B07F0F"/>
    <w:rsid w:val="00B10520"/>
    <w:rsid w:val="00B11C1C"/>
    <w:rsid w:val="00B1296F"/>
    <w:rsid w:val="00B135EF"/>
    <w:rsid w:val="00B13600"/>
    <w:rsid w:val="00B14787"/>
    <w:rsid w:val="00B17131"/>
    <w:rsid w:val="00B2133B"/>
    <w:rsid w:val="00B2204C"/>
    <w:rsid w:val="00B227C7"/>
    <w:rsid w:val="00B234D4"/>
    <w:rsid w:val="00B2624F"/>
    <w:rsid w:val="00B27179"/>
    <w:rsid w:val="00B273C2"/>
    <w:rsid w:val="00B27AEF"/>
    <w:rsid w:val="00B30163"/>
    <w:rsid w:val="00B3016E"/>
    <w:rsid w:val="00B306FC"/>
    <w:rsid w:val="00B30F3A"/>
    <w:rsid w:val="00B3121F"/>
    <w:rsid w:val="00B312D8"/>
    <w:rsid w:val="00B31EB9"/>
    <w:rsid w:val="00B3279C"/>
    <w:rsid w:val="00B3397F"/>
    <w:rsid w:val="00B34FFE"/>
    <w:rsid w:val="00B36850"/>
    <w:rsid w:val="00B40261"/>
    <w:rsid w:val="00B41AEE"/>
    <w:rsid w:val="00B42871"/>
    <w:rsid w:val="00B42D50"/>
    <w:rsid w:val="00B45889"/>
    <w:rsid w:val="00B474D0"/>
    <w:rsid w:val="00B51148"/>
    <w:rsid w:val="00B5117F"/>
    <w:rsid w:val="00B51453"/>
    <w:rsid w:val="00B52112"/>
    <w:rsid w:val="00B524E4"/>
    <w:rsid w:val="00B529E8"/>
    <w:rsid w:val="00B53463"/>
    <w:rsid w:val="00B53E36"/>
    <w:rsid w:val="00B54752"/>
    <w:rsid w:val="00B54983"/>
    <w:rsid w:val="00B57FF3"/>
    <w:rsid w:val="00B6068B"/>
    <w:rsid w:val="00B61141"/>
    <w:rsid w:val="00B61158"/>
    <w:rsid w:val="00B61392"/>
    <w:rsid w:val="00B616D2"/>
    <w:rsid w:val="00B6555E"/>
    <w:rsid w:val="00B66EBF"/>
    <w:rsid w:val="00B67B0A"/>
    <w:rsid w:val="00B70364"/>
    <w:rsid w:val="00B70E81"/>
    <w:rsid w:val="00B72877"/>
    <w:rsid w:val="00B73554"/>
    <w:rsid w:val="00B743F8"/>
    <w:rsid w:val="00B74D49"/>
    <w:rsid w:val="00B75725"/>
    <w:rsid w:val="00B75E80"/>
    <w:rsid w:val="00B76614"/>
    <w:rsid w:val="00B778BA"/>
    <w:rsid w:val="00B80DAE"/>
    <w:rsid w:val="00B81BC8"/>
    <w:rsid w:val="00B8322A"/>
    <w:rsid w:val="00B83D0B"/>
    <w:rsid w:val="00B84262"/>
    <w:rsid w:val="00B85038"/>
    <w:rsid w:val="00B85773"/>
    <w:rsid w:val="00B86536"/>
    <w:rsid w:val="00B8687D"/>
    <w:rsid w:val="00B8743F"/>
    <w:rsid w:val="00B93245"/>
    <w:rsid w:val="00B93CC9"/>
    <w:rsid w:val="00B94AF6"/>
    <w:rsid w:val="00B95DF6"/>
    <w:rsid w:val="00B96558"/>
    <w:rsid w:val="00B979D7"/>
    <w:rsid w:val="00BA0C77"/>
    <w:rsid w:val="00BA12F4"/>
    <w:rsid w:val="00BA1434"/>
    <w:rsid w:val="00BA1818"/>
    <w:rsid w:val="00BA2F0F"/>
    <w:rsid w:val="00BA3ACE"/>
    <w:rsid w:val="00BA3DE1"/>
    <w:rsid w:val="00BA3E61"/>
    <w:rsid w:val="00BA5C99"/>
    <w:rsid w:val="00BA5FB2"/>
    <w:rsid w:val="00BA6C5E"/>
    <w:rsid w:val="00BA6FA2"/>
    <w:rsid w:val="00BB0539"/>
    <w:rsid w:val="00BB1C01"/>
    <w:rsid w:val="00BB2956"/>
    <w:rsid w:val="00BB5689"/>
    <w:rsid w:val="00BB6194"/>
    <w:rsid w:val="00BB6596"/>
    <w:rsid w:val="00BB6B49"/>
    <w:rsid w:val="00BC080B"/>
    <w:rsid w:val="00BC21D0"/>
    <w:rsid w:val="00BC24BF"/>
    <w:rsid w:val="00BC3409"/>
    <w:rsid w:val="00BC4E7F"/>
    <w:rsid w:val="00BC5A36"/>
    <w:rsid w:val="00BC7B2D"/>
    <w:rsid w:val="00BD13B4"/>
    <w:rsid w:val="00BD13F8"/>
    <w:rsid w:val="00BD195B"/>
    <w:rsid w:val="00BD275F"/>
    <w:rsid w:val="00BD2A44"/>
    <w:rsid w:val="00BD4623"/>
    <w:rsid w:val="00BD4EDE"/>
    <w:rsid w:val="00BD6038"/>
    <w:rsid w:val="00BD6880"/>
    <w:rsid w:val="00BD77B4"/>
    <w:rsid w:val="00BD7B35"/>
    <w:rsid w:val="00BE04B4"/>
    <w:rsid w:val="00BE1B91"/>
    <w:rsid w:val="00BE2309"/>
    <w:rsid w:val="00BE25FA"/>
    <w:rsid w:val="00BE2D30"/>
    <w:rsid w:val="00BE40A9"/>
    <w:rsid w:val="00BE6744"/>
    <w:rsid w:val="00BE6CB2"/>
    <w:rsid w:val="00BF0907"/>
    <w:rsid w:val="00BF0A34"/>
    <w:rsid w:val="00BF0F50"/>
    <w:rsid w:val="00BF0F8D"/>
    <w:rsid w:val="00BF1225"/>
    <w:rsid w:val="00BF2767"/>
    <w:rsid w:val="00BF3311"/>
    <w:rsid w:val="00BF40E6"/>
    <w:rsid w:val="00BF4102"/>
    <w:rsid w:val="00BF619C"/>
    <w:rsid w:val="00BF6D94"/>
    <w:rsid w:val="00BF7240"/>
    <w:rsid w:val="00BF7362"/>
    <w:rsid w:val="00BF79DD"/>
    <w:rsid w:val="00C00FCB"/>
    <w:rsid w:val="00C014C7"/>
    <w:rsid w:val="00C0171D"/>
    <w:rsid w:val="00C01958"/>
    <w:rsid w:val="00C01D8A"/>
    <w:rsid w:val="00C02B68"/>
    <w:rsid w:val="00C033EA"/>
    <w:rsid w:val="00C03E48"/>
    <w:rsid w:val="00C06CB1"/>
    <w:rsid w:val="00C078F6"/>
    <w:rsid w:val="00C10E98"/>
    <w:rsid w:val="00C12DD3"/>
    <w:rsid w:val="00C13D9F"/>
    <w:rsid w:val="00C1427F"/>
    <w:rsid w:val="00C142FB"/>
    <w:rsid w:val="00C148DE"/>
    <w:rsid w:val="00C14E9C"/>
    <w:rsid w:val="00C16A38"/>
    <w:rsid w:val="00C17174"/>
    <w:rsid w:val="00C17437"/>
    <w:rsid w:val="00C17F51"/>
    <w:rsid w:val="00C214C1"/>
    <w:rsid w:val="00C21719"/>
    <w:rsid w:val="00C21B58"/>
    <w:rsid w:val="00C223D0"/>
    <w:rsid w:val="00C232D2"/>
    <w:rsid w:val="00C23700"/>
    <w:rsid w:val="00C249EA"/>
    <w:rsid w:val="00C26009"/>
    <w:rsid w:val="00C3019D"/>
    <w:rsid w:val="00C3069F"/>
    <w:rsid w:val="00C31723"/>
    <w:rsid w:val="00C3323A"/>
    <w:rsid w:val="00C34E79"/>
    <w:rsid w:val="00C35292"/>
    <w:rsid w:val="00C36FEC"/>
    <w:rsid w:val="00C37F92"/>
    <w:rsid w:val="00C405D7"/>
    <w:rsid w:val="00C406CD"/>
    <w:rsid w:val="00C40736"/>
    <w:rsid w:val="00C4163A"/>
    <w:rsid w:val="00C42ECF"/>
    <w:rsid w:val="00C45DAF"/>
    <w:rsid w:val="00C46394"/>
    <w:rsid w:val="00C47BD8"/>
    <w:rsid w:val="00C47F2F"/>
    <w:rsid w:val="00C513C6"/>
    <w:rsid w:val="00C51A51"/>
    <w:rsid w:val="00C52AE9"/>
    <w:rsid w:val="00C534B7"/>
    <w:rsid w:val="00C53FB3"/>
    <w:rsid w:val="00C550AB"/>
    <w:rsid w:val="00C55638"/>
    <w:rsid w:val="00C56EDE"/>
    <w:rsid w:val="00C576E0"/>
    <w:rsid w:val="00C577FB"/>
    <w:rsid w:val="00C57EE4"/>
    <w:rsid w:val="00C60704"/>
    <w:rsid w:val="00C62448"/>
    <w:rsid w:val="00C65477"/>
    <w:rsid w:val="00C6687B"/>
    <w:rsid w:val="00C66B4D"/>
    <w:rsid w:val="00C724EB"/>
    <w:rsid w:val="00C72553"/>
    <w:rsid w:val="00C72728"/>
    <w:rsid w:val="00C730FB"/>
    <w:rsid w:val="00C7353B"/>
    <w:rsid w:val="00C73A45"/>
    <w:rsid w:val="00C74E20"/>
    <w:rsid w:val="00C75123"/>
    <w:rsid w:val="00C77384"/>
    <w:rsid w:val="00C77F83"/>
    <w:rsid w:val="00C808E6"/>
    <w:rsid w:val="00C82CDB"/>
    <w:rsid w:val="00C84F7C"/>
    <w:rsid w:val="00C86B4C"/>
    <w:rsid w:val="00C9064B"/>
    <w:rsid w:val="00C909FD"/>
    <w:rsid w:val="00C90E71"/>
    <w:rsid w:val="00C90F15"/>
    <w:rsid w:val="00C92C7E"/>
    <w:rsid w:val="00C93815"/>
    <w:rsid w:val="00C9504C"/>
    <w:rsid w:val="00C952A0"/>
    <w:rsid w:val="00C95340"/>
    <w:rsid w:val="00CA1324"/>
    <w:rsid w:val="00CA3678"/>
    <w:rsid w:val="00CA3C69"/>
    <w:rsid w:val="00CA3CBF"/>
    <w:rsid w:val="00CA41E3"/>
    <w:rsid w:val="00CA4C69"/>
    <w:rsid w:val="00CA6573"/>
    <w:rsid w:val="00CA7EF1"/>
    <w:rsid w:val="00CB0070"/>
    <w:rsid w:val="00CB0309"/>
    <w:rsid w:val="00CB1337"/>
    <w:rsid w:val="00CB21F8"/>
    <w:rsid w:val="00CB235B"/>
    <w:rsid w:val="00CB477D"/>
    <w:rsid w:val="00CB4A0E"/>
    <w:rsid w:val="00CB4E3E"/>
    <w:rsid w:val="00CB7159"/>
    <w:rsid w:val="00CB77BE"/>
    <w:rsid w:val="00CC092A"/>
    <w:rsid w:val="00CC0E05"/>
    <w:rsid w:val="00CC2523"/>
    <w:rsid w:val="00CC5C96"/>
    <w:rsid w:val="00CC6906"/>
    <w:rsid w:val="00CD21EB"/>
    <w:rsid w:val="00CD3938"/>
    <w:rsid w:val="00CD402D"/>
    <w:rsid w:val="00CD4B1B"/>
    <w:rsid w:val="00CD4B52"/>
    <w:rsid w:val="00CD68B2"/>
    <w:rsid w:val="00CD7339"/>
    <w:rsid w:val="00CD75B8"/>
    <w:rsid w:val="00CE084A"/>
    <w:rsid w:val="00CE1801"/>
    <w:rsid w:val="00CE2517"/>
    <w:rsid w:val="00CE2699"/>
    <w:rsid w:val="00CE672E"/>
    <w:rsid w:val="00CE684F"/>
    <w:rsid w:val="00CF02AC"/>
    <w:rsid w:val="00CF0A1A"/>
    <w:rsid w:val="00CF214E"/>
    <w:rsid w:val="00CF2E92"/>
    <w:rsid w:val="00CF3A9B"/>
    <w:rsid w:val="00CF4695"/>
    <w:rsid w:val="00CF4C36"/>
    <w:rsid w:val="00CF4CA9"/>
    <w:rsid w:val="00CF4DFF"/>
    <w:rsid w:val="00CF560D"/>
    <w:rsid w:val="00CF759A"/>
    <w:rsid w:val="00D000B2"/>
    <w:rsid w:val="00D00617"/>
    <w:rsid w:val="00D00694"/>
    <w:rsid w:val="00D01551"/>
    <w:rsid w:val="00D01FB2"/>
    <w:rsid w:val="00D04BFA"/>
    <w:rsid w:val="00D050BE"/>
    <w:rsid w:val="00D05246"/>
    <w:rsid w:val="00D05ABF"/>
    <w:rsid w:val="00D060D7"/>
    <w:rsid w:val="00D06182"/>
    <w:rsid w:val="00D10CBE"/>
    <w:rsid w:val="00D10FA8"/>
    <w:rsid w:val="00D13A59"/>
    <w:rsid w:val="00D142BA"/>
    <w:rsid w:val="00D16A74"/>
    <w:rsid w:val="00D16B0B"/>
    <w:rsid w:val="00D171B6"/>
    <w:rsid w:val="00D2074E"/>
    <w:rsid w:val="00D20F53"/>
    <w:rsid w:val="00D22FF4"/>
    <w:rsid w:val="00D24A7F"/>
    <w:rsid w:val="00D25C8A"/>
    <w:rsid w:val="00D26346"/>
    <w:rsid w:val="00D26AA4"/>
    <w:rsid w:val="00D26B34"/>
    <w:rsid w:val="00D27164"/>
    <w:rsid w:val="00D32336"/>
    <w:rsid w:val="00D3250C"/>
    <w:rsid w:val="00D332DD"/>
    <w:rsid w:val="00D33831"/>
    <w:rsid w:val="00D33B56"/>
    <w:rsid w:val="00D343D8"/>
    <w:rsid w:val="00D34DC5"/>
    <w:rsid w:val="00D353A7"/>
    <w:rsid w:val="00D358F8"/>
    <w:rsid w:val="00D35B7E"/>
    <w:rsid w:val="00D35D28"/>
    <w:rsid w:val="00D36FC1"/>
    <w:rsid w:val="00D37151"/>
    <w:rsid w:val="00D41A24"/>
    <w:rsid w:val="00D41DB4"/>
    <w:rsid w:val="00D4297D"/>
    <w:rsid w:val="00D43B6B"/>
    <w:rsid w:val="00D448EB"/>
    <w:rsid w:val="00D44B57"/>
    <w:rsid w:val="00D468C5"/>
    <w:rsid w:val="00D46AB6"/>
    <w:rsid w:val="00D46BC9"/>
    <w:rsid w:val="00D46FDD"/>
    <w:rsid w:val="00D4789F"/>
    <w:rsid w:val="00D510F3"/>
    <w:rsid w:val="00D51670"/>
    <w:rsid w:val="00D51B37"/>
    <w:rsid w:val="00D52C8D"/>
    <w:rsid w:val="00D53235"/>
    <w:rsid w:val="00D53E46"/>
    <w:rsid w:val="00D55545"/>
    <w:rsid w:val="00D55DA5"/>
    <w:rsid w:val="00D55DDD"/>
    <w:rsid w:val="00D566AD"/>
    <w:rsid w:val="00D57639"/>
    <w:rsid w:val="00D6049F"/>
    <w:rsid w:val="00D63713"/>
    <w:rsid w:val="00D648D4"/>
    <w:rsid w:val="00D652E0"/>
    <w:rsid w:val="00D654B0"/>
    <w:rsid w:val="00D66EEE"/>
    <w:rsid w:val="00D70274"/>
    <w:rsid w:val="00D70627"/>
    <w:rsid w:val="00D70BBC"/>
    <w:rsid w:val="00D70EB1"/>
    <w:rsid w:val="00D71F93"/>
    <w:rsid w:val="00D7275E"/>
    <w:rsid w:val="00D7395F"/>
    <w:rsid w:val="00D748B4"/>
    <w:rsid w:val="00D759F9"/>
    <w:rsid w:val="00D76BCF"/>
    <w:rsid w:val="00D76D7B"/>
    <w:rsid w:val="00D77104"/>
    <w:rsid w:val="00D7715C"/>
    <w:rsid w:val="00D7738F"/>
    <w:rsid w:val="00D82BF4"/>
    <w:rsid w:val="00D85287"/>
    <w:rsid w:val="00D853E3"/>
    <w:rsid w:val="00D85723"/>
    <w:rsid w:val="00D86BA2"/>
    <w:rsid w:val="00D87E66"/>
    <w:rsid w:val="00D92424"/>
    <w:rsid w:val="00D92F22"/>
    <w:rsid w:val="00D93944"/>
    <w:rsid w:val="00D93A3A"/>
    <w:rsid w:val="00D94349"/>
    <w:rsid w:val="00D94443"/>
    <w:rsid w:val="00D947FB"/>
    <w:rsid w:val="00D94B01"/>
    <w:rsid w:val="00D96533"/>
    <w:rsid w:val="00D96737"/>
    <w:rsid w:val="00D97598"/>
    <w:rsid w:val="00D9764D"/>
    <w:rsid w:val="00D97FD6"/>
    <w:rsid w:val="00DA0C27"/>
    <w:rsid w:val="00DA19B1"/>
    <w:rsid w:val="00DA1CD3"/>
    <w:rsid w:val="00DA24D1"/>
    <w:rsid w:val="00DA2746"/>
    <w:rsid w:val="00DA274C"/>
    <w:rsid w:val="00DA3F6F"/>
    <w:rsid w:val="00DA557B"/>
    <w:rsid w:val="00DA55A9"/>
    <w:rsid w:val="00DA6678"/>
    <w:rsid w:val="00DA67F2"/>
    <w:rsid w:val="00DA6E65"/>
    <w:rsid w:val="00DB082C"/>
    <w:rsid w:val="00DB1249"/>
    <w:rsid w:val="00DB12B4"/>
    <w:rsid w:val="00DB2CFE"/>
    <w:rsid w:val="00DB2F9C"/>
    <w:rsid w:val="00DB3A00"/>
    <w:rsid w:val="00DB47D8"/>
    <w:rsid w:val="00DB49B3"/>
    <w:rsid w:val="00DC1B48"/>
    <w:rsid w:val="00DC1C57"/>
    <w:rsid w:val="00DC2070"/>
    <w:rsid w:val="00DC3BB1"/>
    <w:rsid w:val="00DC3EEA"/>
    <w:rsid w:val="00DC4727"/>
    <w:rsid w:val="00DC480E"/>
    <w:rsid w:val="00DC5778"/>
    <w:rsid w:val="00DC6451"/>
    <w:rsid w:val="00DC7007"/>
    <w:rsid w:val="00DD033E"/>
    <w:rsid w:val="00DD0417"/>
    <w:rsid w:val="00DD208F"/>
    <w:rsid w:val="00DD436F"/>
    <w:rsid w:val="00DD4866"/>
    <w:rsid w:val="00DD569E"/>
    <w:rsid w:val="00DD5DD3"/>
    <w:rsid w:val="00DD5EA2"/>
    <w:rsid w:val="00DD63AA"/>
    <w:rsid w:val="00DE04BA"/>
    <w:rsid w:val="00DE0F1C"/>
    <w:rsid w:val="00DE265B"/>
    <w:rsid w:val="00DE2FD9"/>
    <w:rsid w:val="00DE3E96"/>
    <w:rsid w:val="00DE42EF"/>
    <w:rsid w:val="00DE5867"/>
    <w:rsid w:val="00DF022E"/>
    <w:rsid w:val="00DF0302"/>
    <w:rsid w:val="00DF1C93"/>
    <w:rsid w:val="00DF217A"/>
    <w:rsid w:val="00DF35DB"/>
    <w:rsid w:val="00DF367E"/>
    <w:rsid w:val="00DF3792"/>
    <w:rsid w:val="00DF3FBB"/>
    <w:rsid w:val="00DF4111"/>
    <w:rsid w:val="00DF429A"/>
    <w:rsid w:val="00DF5E11"/>
    <w:rsid w:val="00E0026E"/>
    <w:rsid w:val="00E00E57"/>
    <w:rsid w:val="00E01BDB"/>
    <w:rsid w:val="00E041CA"/>
    <w:rsid w:val="00E04AA8"/>
    <w:rsid w:val="00E04C77"/>
    <w:rsid w:val="00E0561D"/>
    <w:rsid w:val="00E07186"/>
    <w:rsid w:val="00E10595"/>
    <w:rsid w:val="00E10DF5"/>
    <w:rsid w:val="00E1274E"/>
    <w:rsid w:val="00E137C4"/>
    <w:rsid w:val="00E13D88"/>
    <w:rsid w:val="00E14971"/>
    <w:rsid w:val="00E14CA0"/>
    <w:rsid w:val="00E15510"/>
    <w:rsid w:val="00E16484"/>
    <w:rsid w:val="00E16550"/>
    <w:rsid w:val="00E16A5E"/>
    <w:rsid w:val="00E16EE2"/>
    <w:rsid w:val="00E1784B"/>
    <w:rsid w:val="00E214CA"/>
    <w:rsid w:val="00E21FCF"/>
    <w:rsid w:val="00E2208C"/>
    <w:rsid w:val="00E23A3C"/>
    <w:rsid w:val="00E245A4"/>
    <w:rsid w:val="00E25576"/>
    <w:rsid w:val="00E27718"/>
    <w:rsid w:val="00E27A03"/>
    <w:rsid w:val="00E27D21"/>
    <w:rsid w:val="00E3073D"/>
    <w:rsid w:val="00E310ED"/>
    <w:rsid w:val="00E320B1"/>
    <w:rsid w:val="00E3323D"/>
    <w:rsid w:val="00E33478"/>
    <w:rsid w:val="00E33F80"/>
    <w:rsid w:val="00E37689"/>
    <w:rsid w:val="00E37CC3"/>
    <w:rsid w:val="00E401F3"/>
    <w:rsid w:val="00E42F90"/>
    <w:rsid w:val="00E43239"/>
    <w:rsid w:val="00E433EC"/>
    <w:rsid w:val="00E4530D"/>
    <w:rsid w:val="00E46FC3"/>
    <w:rsid w:val="00E47839"/>
    <w:rsid w:val="00E51AE8"/>
    <w:rsid w:val="00E5271D"/>
    <w:rsid w:val="00E530EE"/>
    <w:rsid w:val="00E54043"/>
    <w:rsid w:val="00E5410B"/>
    <w:rsid w:val="00E55111"/>
    <w:rsid w:val="00E57316"/>
    <w:rsid w:val="00E57A03"/>
    <w:rsid w:val="00E6005F"/>
    <w:rsid w:val="00E609A5"/>
    <w:rsid w:val="00E60C47"/>
    <w:rsid w:val="00E61C4C"/>
    <w:rsid w:val="00E62321"/>
    <w:rsid w:val="00E62977"/>
    <w:rsid w:val="00E62C61"/>
    <w:rsid w:val="00E636D6"/>
    <w:rsid w:val="00E63E9F"/>
    <w:rsid w:val="00E645A2"/>
    <w:rsid w:val="00E6551E"/>
    <w:rsid w:val="00E656EB"/>
    <w:rsid w:val="00E65925"/>
    <w:rsid w:val="00E65D9C"/>
    <w:rsid w:val="00E6635C"/>
    <w:rsid w:val="00E66AD5"/>
    <w:rsid w:val="00E676D1"/>
    <w:rsid w:val="00E70513"/>
    <w:rsid w:val="00E7136E"/>
    <w:rsid w:val="00E71E30"/>
    <w:rsid w:val="00E72A44"/>
    <w:rsid w:val="00E72D1C"/>
    <w:rsid w:val="00E7309F"/>
    <w:rsid w:val="00E73848"/>
    <w:rsid w:val="00E7409E"/>
    <w:rsid w:val="00E75A27"/>
    <w:rsid w:val="00E76290"/>
    <w:rsid w:val="00E7677D"/>
    <w:rsid w:val="00E767B5"/>
    <w:rsid w:val="00E76E77"/>
    <w:rsid w:val="00E77C52"/>
    <w:rsid w:val="00E80153"/>
    <w:rsid w:val="00E8114F"/>
    <w:rsid w:val="00E821C5"/>
    <w:rsid w:val="00E82B48"/>
    <w:rsid w:val="00E8353C"/>
    <w:rsid w:val="00E83672"/>
    <w:rsid w:val="00E84B2D"/>
    <w:rsid w:val="00E85E5D"/>
    <w:rsid w:val="00E866D9"/>
    <w:rsid w:val="00E87EBC"/>
    <w:rsid w:val="00E90430"/>
    <w:rsid w:val="00E90589"/>
    <w:rsid w:val="00E90993"/>
    <w:rsid w:val="00E91215"/>
    <w:rsid w:val="00E9159D"/>
    <w:rsid w:val="00E91A16"/>
    <w:rsid w:val="00E91E4F"/>
    <w:rsid w:val="00E91FF7"/>
    <w:rsid w:val="00E92C85"/>
    <w:rsid w:val="00E941CF"/>
    <w:rsid w:val="00E955BB"/>
    <w:rsid w:val="00E95978"/>
    <w:rsid w:val="00E968B6"/>
    <w:rsid w:val="00E97C97"/>
    <w:rsid w:val="00EA08D2"/>
    <w:rsid w:val="00EA0C22"/>
    <w:rsid w:val="00EA369B"/>
    <w:rsid w:val="00EA564E"/>
    <w:rsid w:val="00EA5EAC"/>
    <w:rsid w:val="00EA70DD"/>
    <w:rsid w:val="00EA74D5"/>
    <w:rsid w:val="00EB2219"/>
    <w:rsid w:val="00EB286A"/>
    <w:rsid w:val="00EB2E01"/>
    <w:rsid w:val="00EB2E9A"/>
    <w:rsid w:val="00EB33A3"/>
    <w:rsid w:val="00EB3AD3"/>
    <w:rsid w:val="00EB4FBE"/>
    <w:rsid w:val="00EB51F7"/>
    <w:rsid w:val="00EB56CA"/>
    <w:rsid w:val="00EB597D"/>
    <w:rsid w:val="00EB6407"/>
    <w:rsid w:val="00EB684C"/>
    <w:rsid w:val="00EB7B83"/>
    <w:rsid w:val="00EC00C0"/>
    <w:rsid w:val="00EC028A"/>
    <w:rsid w:val="00EC2175"/>
    <w:rsid w:val="00EC34E0"/>
    <w:rsid w:val="00EC471D"/>
    <w:rsid w:val="00EC4CFE"/>
    <w:rsid w:val="00EC4DD3"/>
    <w:rsid w:val="00EC5819"/>
    <w:rsid w:val="00EC602A"/>
    <w:rsid w:val="00EC7AF0"/>
    <w:rsid w:val="00EC7D18"/>
    <w:rsid w:val="00ED10B8"/>
    <w:rsid w:val="00ED1601"/>
    <w:rsid w:val="00ED2886"/>
    <w:rsid w:val="00ED33F9"/>
    <w:rsid w:val="00ED3AB2"/>
    <w:rsid w:val="00ED46F7"/>
    <w:rsid w:val="00ED488E"/>
    <w:rsid w:val="00ED5564"/>
    <w:rsid w:val="00ED7AE5"/>
    <w:rsid w:val="00EE05CD"/>
    <w:rsid w:val="00EE0672"/>
    <w:rsid w:val="00EE12C9"/>
    <w:rsid w:val="00EE30D3"/>
    <w:rsid w:val="00EE479F"/>
    <w:rsid w:val="00EE47C0"/>
    <w:rsid w:val="00EE5410"/>
    <w:rsid w:val="00EE57A2"/>
    <w:rsid w:val="00EE630F"/>
    <w:rsid w:val="00EE6470"/>
    <w:rsid w:val="00EE6973"/>
    <w:rsid w:val="00EE73C7"/>
    <w:rsid w:val="00EE76EF"/>
    <w:rsid w:val="00EE7B21"/>
    <w:rsid w:val="00EE7BD9"/>
    <w:rsid w:val="00EE7E3A"/>
    <w:rsid w:val="00EF06A1"/>
    <w:rsid w:val="00EF290C"/>
    <w:rsid w:val="00EF2A25"/>
    <w:rsid w:val="00EF384C"/>
    <w:rsid w:val="00EF3BEB"/>
    <w:rsid w:val="00EF48B4"/>
    <w:rsid w:val="00EF4F27"/>
    <w:rsid w:val="00EF55DC"/>
    <w:rsid w:val="00EF5BFD"/>
    <w:rsid w:val="00EF6144"/>
    <w:rsid w:val="00EF68C4"/>
    <w:rsid w:val="00F002E2"/>
    <w:rsid w:val="00F01CE3"/>
    <w:rsid w:val="00F02F69"/>
    <w:rsid w:val="00F04597"/>
    <w:rsid w:val="00F04633"/>
    <w:rsid w:val="00F05316"/>
    <w:rsid w:val="00F0552E"/>
    <w:rsid w:val="00F06BC1"/>
    <w:rsid w:val="00F103C1"/>
    <w:rsid w:val="00F127E3"/>
    <w:rsid w:val="00F14193"/>
    <w:rsid w:val="00F14F43"/>
    <w:rsid w:val="00F15082"/>
    <w:rsid w:val="00F166ED"/>
    <w:rsid w:val="00F21038"/>
    <w:rsid w:val="00F21384"/>
    <w:rsid w:val="00F21CF1"/>
    <w:rsid w:val="00F21FF0"/>
    <w:rsid w:val="00F222CC"/>
    <w:rsid w:val="00F25D85"/>
    <w:rsid w:val="00F26124"/>
    <w:rsid w:val="00F316FA"/>
    <w:rsid w:val="00F334F0"/>
    <w:rsid w:val="00F33CC8"/>
    <w:rsid w:val="00F345AF"/>
    <w:rsid w:val="00F34669"/>
    <w:rsid w:val="00F347F2"/>
    <w:rsid w:val="00F3492C"/>
    <w:rsid w:val="00F3544C"/>
    <w:rsid w:val="00F3580D"/>
    <w:rsid w:val="00F37E46"/>
    <w:rsid w:val="00F37FDC"/>
    <w:rsid w:val="00F40D2B"/>
    <w:rsid w:val="00F418A3"/>
    <w:rsid w:val="00F420EA"/>
    <w:rsid w:val="00F4275C"/>
    <w:rsid w:val="00F435B7"/>
    <w:rsid w:val="00F4502A"/>
    <w:rsid w:val="00F4549E"/>
    <w:rsid w:val="00F45A53"/>
    <w:rsid w:val="00F50E25"/>
    <w:rsid w:val="00F5247C"/>
    <w:rsid w:val="00F5320F"/>
    <w:rsid w:val="00F53523"/>
    <w:rsid w:val="00F549CD"/>
    <w:rsid w:val="00F569CC"/>
    <w:rsid w:val="00F6007A"/>
    <w:rsid w:val="00F602AB"/>
    <w:rsid w:val="00F60D4A"/>
    <w:rsid w:val="00F61037"/>
    <w:rsid w:val="00F622E7"/>
    <w:rsid w:val="00F62330"/>
    <w:rsid w:val="00F6241C"/>
    <w:rsid w:val="00F6242D"/>
    <w:rsid w:val="00F62AAA"/>
    <w:rsid w:val="00F62B94"/>
    <w:rsid w:val="00F62EC9"/>
    <w:rsid w:val="00F63585"/>
    <w:rsid w:val="00F63B3C"/>
    <w:rsid w:val="00F64E4A"/>
    <w:rsid w:val="00F64F98"/>
    <w:rsid w:val="00F65FB5"/>
    <w:rsid w:val="00F705D9"/>
    <w:rsid w:val="00F70E51"/>
    <w:rsid w:val="00F70F28"/>
    <w:rsid w:val="00F734C3"/>
    <w:rsid w:val="00F73678"/>
    <w:rsid w:val="00F75B77"/>
    <w:rsid w:val="00F7604A"/>
    <w:rsid w:val="00F766FC"/>
    <w:rsid w:val="00F819EA"/>
    <w:rsid w:val="00F81BBE"/>
    <w:rsid w:val="00F81D00"/>
    <w:rsid w:val="00F81D6B"/>
    <w:rsid w:val="00F8207D"/>
    <w:rsid w:val="00F8372E"/>
    <w:rsid w:val="00F83930"/>
    <w:rsid w:val="00F862AD"/>
    <w:rsid w:val="00F86B27"/>
    <w:rsid w:val="00F86C1E"/>
    <w:rsid w:val="00F8796D"/>
    <w:rsid w:val="00F90748"/>
    <w:rsid w:val="00F90FB7"/>
    <w:rsid w:val="00F91129"/>
    <w:rsid w:val="00F92191"/>
    <w:rsid w:val="00F92777"/>
    <w:rsid w:val="00F92AEB"/>
    <w:rsid w:val="00F92E9D"/>
    <w:rsid w:val="00F93979"/>
    <w:rsid w:val="00F94662"/>
    <w:rsid w:val="00F94FCE"/>
    <w:rsid w:val="00F95120"/>
    <w:rsid w:val="00F95BAF"/>
    <w:rsid w:val="00F97CAC"/>
    <w:rsid w:val="00FA0E71"/>
    <w:rsid w:val="00FA13E2"/>
    <w:rsid w:val="00FA1CEB"/>
    <w:rsid w:val="00FA2431"/>
    <w:rsid w:val="00FA30AE"/>
    <w:rsid w:val="00FA3438"/>
    <w:rsid w:val="00FA45EC"/>
    <w:rsid w:val="00FA4FBE"/>
    <w:rsid w:val="00FA512B"/>
    <w:rsid w:val="00FA5B5D"/>
    <w:rsid w:val="00FA7CF4"/>
    <w:rsid w:val="00FB0577"/>
    <w:rsid w:val="00FB0AED"/>
    <w:rsid w:val="00FB0C5E"/>
    <w:rsid w:val="00FB0C64"/>
    <w:rsid w:val="00FB17BA"/>
    <w:rsid w:val="00FB1D5A"/>
    <w:rsid w:val="00FB1F7B"/>
    <w:rsid w:val="00FB1FC4"/>
    <w:rsid w:val="00FB2EF6"/>
    <w:rsid w:val="00FB32C6"/>
    <w:rsid w:val="00FB62BC"/>
    <w:rsid w:val="00FB6426"/>
    <w:rsid w:val="00FB6CF9"/>
    <w:rsid w:val="00FC0172"/>
    <w:rsid w:val="00FC01FB"/>
    <w:rsid w:val="00FC29A5"/>
    <w:rsid w:val="00FC304B"/>
    <w:rsid w:val="00FC3EAC"/>
    <w:rsid w:val="00FC5E1B"/>
    <w:rsid w:val="00FC6000"/>
    <w:rsid w:val="00FC7177"/>
    <w:rsid w:val="00FD03C7"/>
    <w:rsid w:val="00FD1816"/>
    <w:rsid w:val="00FD3632"/>
    <w:rsid w:val="00FD4DCE"/>
    <w:rsid w:val="00FD5112"/>
    <w:rsid w:val="00FD5A0A"/>
    <w:rsid w:val="00FD7B84"/>
    <w:rsid w:val="00FE0EFD"/>
    <w:rsid w:val="00FE28CC"/>
    <w:rsid w:val="00FE3085"/>
    <w:rsid w:val="00FE4C49"/>
    <w:rsid w:val="00FE4DA8"/>
    <w:rsid w:val="00FE56BB"/>
    <w:rsid w:val="00FE5899"/>
    <w:rsid w:val="00FE5E54"/>
    <w:rsid w:val="00FE5EB2"/>
    <w:rsid w:val="00FF0798"/>
    <w:rsid w:val="00FF0BDF"/>
    <w:rsid w:val="00FF180C"/>
    <w:rsid w:val="00FF1F0B"/>
    <w:rsid w:val="00FF330D"/>
    <w:rsid w:val="00FF36DE"/>
    <w:rsid w:val="00FF42B7"/>
    <w:rsid w:val="00FF584C"/>
    <w:rsid w:val="00FF5F4B"/>
    <w:rsid w:val="00FF6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0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1F9"/>
  </w:style>
  <w:style w:type="paragraph" w:styleId="Heading1">
    <w:name w:val="heading 1"/>
    <w:basedOn w:val="Normal"/>
    <w:next w:val="Paragraph-First"/>
    <w:link w:val="Heading1Char"/>
    <w:uiPriority w:val="9"/>
    <w:qFormat/>
    <w:rsid w:val="00001169"/>
    <w:pPr>
      <w:keepNext/>
      <w:keepLines/>
      <w:numPr>
        <w:numId w:val="4"/>
      </w:numPr>
      <w:spacing w:after="680" w:line="240" w:lineRule="auto"/>
      <w:outlineLvl w:val="0"/>
    </w:pPr>
    <w:rPr>
      <w:rFonts w:ascii="LMRoman12" w:eastAsiaTheme="majorEastAsia" w:hAnsi="LMRoman12" w:cstheme="majorBidi"/>
      <w:b/>
      <w:spacing w:val="-16"/>
      <w:sz w:val="48"/>
      <w:szCs w:val="26"/>
      <w:lang w:val="en-US"/>
      <w14:ligatures w14:val="standardContextual"/>
    </w:rPr>
  </w:style>
  <w:style w:type="paragraph" w:styleId="Heading2">
    <w:name w:val="heading 2"/>
    <w:basedOn w:val="HeadingPre"/>
    <w:next w:val="Paragraph-First"/>
    <w:link w:val="Heading2Char"/>
    <w:uiPriority w:val="9"/>
    <w:unhideWhenUsed/>
    <w:qFormat/>
    <w:rsid w:val="00001169"/>
    <w:pPr>
      <w:numPr>
        <w:ilvl w:val="1"/>
        <w:numId w:val="4"/>
      </w:numPr>
      <w:spacing w:before="320" w:after="180"/>
      <w:outlineLvl w:val="1"/>
    </w:pPr>
    <w:rPr>
      <w:rFonts w:eastAsiaTheme="majorEastAsia" w:cstheme="majorBidi"/>
      <w:b/>
      <w:sz w:val="30"/>
      <w:szCs w:val="26"/>
    </w:rPr>
  </w:style>
  <w:style w:type="paragraph" w:styleId="Heading3">
    <w:name w:val="heading 3"/>
    <w:basedOn w:val="HeadingPre"/>
    <w:next w:val="Paragraph-First"/>
    <w:link w:val="Heading3Char"/>
    <w:uiPriority w:val="9"/>
    <w:unhideWhenUsed/>
    <w:qFormat/>
    <w:rsid w:val="00001169"/>
    <w:pPr>
      <w:numPr>
        <w:ilvl w:val="2"/>
        <w:numId w:val="4"/>
      </w:numPr>
      <w:spacing w:before="240" w:after="120"/>
      <w:outlineLvl w:val="2"/>
    </w:pPr>
    <w:rPr>
      <w:rFonts w:eastAsiaTheme="majorEastAsia" w:cstheme="majorBidi"/>
      <w:b/>
      <w:iCs/>
      <w:sz w:val="26"/>
      <w:szCs w:val="26"/>
    </w:rPr>
  </w:style>
  <w:style w:type="paragraph" w:styleId="Heading4">
    <w:name w:val="heading 4"/>
    <w:basedOn w:val="HeadingPre"/>
    <w:next w:val="Paragraph-First"/>
    <w:link w:val="Heading4Char"/>
    <w:uiPriority w:val="9"/>
    <w:unhideWhenUsed/>
    <w:qFormat/>
    <w:rsid w:val="00001169"/>
    <w:pPr>
      <w:numPr>
        <w:ilvl w:val="3"/>
        <w:numId w:val="4"/>
      </w:numPr>
      <w:spacing w:before="240" w:after="120"/>
      <w:outlineLvl w:val="3"/>
    </w:pPr>
    <w:rPr>
      <w:rFonts w:eastAsiaTheme="majorEastAsia" w:cstheme="majorBidi"/>
      <w:b/>
      <w:bCs/>
      <w:szCs w:val="26"/>
    </w:rPr>
  </w:style>
  <w:style w:type="paragraph" w:styleId="Heading5">
    <w:name w:val="heading 5"/>
    <w:basedOn w:val="HeadingPre"/>
    <w:next w:val="Paragraph-First"/>
    <w:link w:val="Heading5Char"/>
    <w:uiPriority w:val="9"/>
    <w:unhideWhenUsed/>
    <w:qFormat/>
    <w:rsid w:val="00001169"/>
    <w:pPr>
      <w:keepNext w:val="0"/>
      <w:keepLines w:val="0"/>
      <w:numPr>
        <w:ilvl w:val="4"/>
        <w:numId w:val="4"/>
      </w:numPr>
      <w:tabs>
        <w:tab w:val="left" w:pos="1151"/>
      </w:tabs>
      <w:spacing w:before="280"/>
      <w:ind w:left="0" w:firstLine="0"/>
      <w:outlineLvl w:val="4"/>
    </w:pPr>
    <w:rPr>
      <w:b/>
    </w:rPr>
  </w:style>
  <w:style w:type="paragraph" w:styleId="Heading6">
    <w:name w:val="heading 6"/>
    <w:basedOn w:val="HeadingPre"/>
    <w:next w:val="Paragraph-First"/>
    <w:link w:val="Heading6Char"/>
    <w:uiPriority w:val="9"/>
    <w:unhideWhenUsed/>
    <w:qFormat/>
    <w:rsid w:val="00001169"/>
    <w:pPr>
      <w:keepNext w:val="0"/>
      <w:keepLines w:val="0"/>
      <w:numPr>
        <w:ilvl w:val="5"/>
        <w:numId w:val="4"/>
      </w:numPr>
      <w:spacing w:before="280"/>
      <w:ind w:left="0" w:firstLine="340"/>
      <w:outlineLvl w:val="5"/>
    </w:pPr>
    <w:rPr>
      <w:rFonts w:eastAsiaTheme="majorEastAsia" w:cstheme="majorBidi"/>
      <w:b/>
      <w:bCs/>
      <w:szCs w:val="26"/>
    </w:rPr>
  </w:style>
  <w:style w:type="paragraph" w:styleId="Heading7">
    <w:name w:val="heading 7"/>
    <w:aliases w:val="Appendix 1"/>
    <w:basedOn w:val="Normal"/>
    <w:next w:val="Paragraph-First"/>
    <w:link w:val="Heading7Char"/>
    <w:uiPriority w:val="9"/>
    <w:unhideWhenUsed/>
    <w:rsid w:val="00001169"/>
    <w:pPr>
      <w:keepNext/>
      <w:keepLines/>
      <w:numPr>
        <w:numId w:val="5"/>
      </w:numPr>
      <w:spacing w:after="680" w:line="240" w:lineRule="auto"/>
      <w:outlineLvl w:val="6"/>
    </w:pPr>
    <w:rPr>
      <w:rFonts w:ascii="LMRoman12" w:eastAsiaTheme="majorEastAsia" w:hAnsi="LMRoman12" w:cstheme="majorBidi"/>
      <w:b/>
      <w:spacing w:val="-16"/>
      <w:sz w:val="48"/>
      <w:szCs w:val="26"/>
      <w:lang w:val="en-US"/>
      <w14:ligatures w14:val="standardContextual"/>
    </w:rPr>
  </w:style>
  <w:style w:type="paragraph" w:styleId="Heading8">
    <w:name w:val="heading 8"/>
    <w:basedOn w:val="Heading5"/>
    <w:next w:val="Normal"/>
    <w:link w:val="Heading8Char"/>
    <w:uiPriority w:val="9"/>
    <w:unhideWhenUsed/>
    <w:rsid w:val="00001169"/>
    <w:pPr>
      <w:tabs>
        <w:tab w:val="clear" w:pos="1151"/>
      </w:tabs>
      <w:outlineLvl w:val="7"/>
    </w:pPr>
  </w:style>
  <w:style w:type="paragraph" w:styleId="Heading9">
    <w:name w:val="heading 9"/>
    <w:basedOn w:val="Heading6"/>
    <w:next w:val="Normal"/>
    <w:link w:val="Heading9Char"/>
    <w:uiPriority w:val="9"/>
    <w:unhideWhenUsed/>
    <w:rsid w:val="0000116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5D7029"/>
  </w:style>
  <w:style w:type="paragraph" w:styleId="BalloonText">
    <w:name w:val="Balloon Text"/>
    <w:basedOn w:val="Normal"/>
    <w:link w:val="BalloonTextChar"/>
    <w:uiPriority w:val="99"/>
    <w:semiHidden/>
    <w:unhideWhenUsed/>
    <w:rsid w:val="00820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349"/>
    <w:rPr>
      <w:rFonts w:ascii="Tahoma" w:hAnsi="Tahoma" w:cs="Tahoma"/>
      <w:sz w:val="16"/>
      <w:szCs w:val="16"/>
    </w:rPr>
  </w:style>
  <w:style w:type="table" w:styleId="TableGrid">
    <w:name w:val="Table Grid"/>
    <w:basedOn w:val="TableNormal"/>
    <w:uiPriority w:val="59"/>
    <w:rsid w:val="00811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5CB2"/>
    <w:pPr>
      <w:ind w:left="720"/>
      <w:contextualSpacing/>
    </w:pPr>
  </w:style>
  <w:style w:type="paragraph" w:styleId="Caption">
    <w:name w:val="caption"/>
    <w:basedOn w:val="Normal"/>
    <w:next w:val="Normal"/>
    <w:uiPriority w:val="35"/>
    <w:unhideWhenUsed/>
    <w:qFormat/>
    <w:rsid w:val="00AE5A7C"/>
    <w:pPr>
      <w:spacing w:line="240" w:lineRule="auto"/>
    </w:pPr>
    <w:rPr>
      <w:b/>
      <w:bCs/>
      <w:color w:val="4F81BD" w:themeColor="accent1"/>
      <w:sz w:val="18"/>
      <w:szCs w:val="18"/>
    </w:rPr>
  </w:style>
  <w:style w:type="character" w:styleId="Hyperlink">
    <w:name w:val="Hyperlink"/>
    <w:basedOn w:val="DefaultParagraphFont"/>
    <w:uiPriority w:val="99"/>
    <w:unhideWhenUsed/>
    <w:rsid w:val="006E3B9B"/>
    <w:rPr>
      <w:color w:val="0000FF" w:themeColor="hyperlink"/>
      <w:u w:val="single"/>
    </w:rPr>
  </w:style>
  <w:style w:type="character" w:styleId="CommentReference">
    <w:name w:val="annotation reference"/>
    <w:basedOn w:val="DefaultParagraphFont"/>
    <w:uiPriority w:val="99"/>
    <w:semiHidden/>
    <w:unhideWhenUsed/>
    <w:rsid w:val="003459C5"/>
    <w:rPr>
      <w:sz w:val="16"/>
      <w:szCs w:val="16"/>
    </w:rPr>
  </w:style>
  <w:style w:type="paragraph" w:styleId="CommentText">
    <w:name w:val="annotation text"/>
    <w:basedOn w:val="Normal"/>
    <w:link w:val="CommentTextChar"/>
    <w:uiPriority w:val="99"/>
    <w:semiHidden/>
    <w:unhideWhenUsed/>
    <w:rsid w:val="003459C5"/>
    <w:pPr>
      <w:spacing w:line="240" w:lineRule="auto"/>
    </w:pPr>
    <w:rPr>
      <w:sz w:val="20"/>
      <w:szCs w:val="20"/>
    </w:rPr>
  </w:style>
  <w:style w:type="character" w:customStyle="1" w:styleId="CommentTextChar">
    <w:name w:val="Comment Text Char"/>
    <w:basedOn w:val="DefaultParagraphFont"/>
    <w:link w:val="CommentText"/>
    <w:uiPriority w:val="99"/>
    <w:semiHidden/>
    <w:rsid w:val="003459C5"/>
    <w:rPr>
      <w:sz w:val="20"/>
      <w:szCs w:val="20"/>
    </w:rPr>
  </w:style>
  <w:style w:type="paragraph" w:styleId="CommentSubject">
    <w:name w:val="annotation subject"/>
    <w:basedOn w:val="CommentText"/>
    <w:next w:val="CommentText"/>
    <w:link w:val="CommentSubjectChar"/>
    <w:uiPriority w:val="99"/>
    <w:semiHidden/>
    <w:unhideWhenUsed/>
    <w:rsid w:val="003459C5"/>
    <w:rPr>
      <w:b/>
      <w:bCs/>
    </w:rPr>
  </w:style>
  <w:style w:type="character" w:customStyle="1" w:styleId="CommentSubjectChar">
    <w:name w:val="Comment Subject Char"/>
    <w:basedOn w:val="CommentTextChar"/>
    <w:link w:val="CommentSubject"/>
    <w:uiPriority w:val="99"/>
    <w:semiHidden/>
    <w:rsid w:val="003459C5"/>
    <w:rPr>
      <w:b/>
      <w:bCs/>
      <w:sz w:val="20"/>
      <w:szCs w:val="20"/>
    </w:rPr>
  </w:style>
  <w:style w:type="paragraph" w:styleId="FootnoteText">
    <w:name w:val="footnote text"/>
    <w:basedOn w:val="Normal"/>
    <w:link w:val="FootnoteTextChar"/>
    <w:uiPriority w:val="99"/>
    <w:unhideWhenUsed/>
    <w:rsid w:val="00EE73C7"/>
    <w:pPr>
      <w:spacing w:after="0" w:line="240" w:lineRule="auto"/>
    </w:pPr>
    <w:rPr>
      <w:sz w:val="20"/>
      <w:szCs w:val="20"/>
    </w:rPr>
  </w:style>
  <w:style w:type="character" w:customStyle="1" w:styleId="FootnoteTextChar">
    <w:name w:val="Footnote Text Char"/>
    <w:basedOn w:val="DefaultParagraphFont"/>
    <w:link w:val="FootnoteText"/>
    <w:uiPriority w:val="99"/>
    <w:rsid w:val="00EE73C7"/>
    <w:rPr>
      <w:sz w:val="20"/>
      <w:szCs w:val="20"/>
    </w:rPr>
  </w:style>
  <w:style w:type="character" w:styleId="FootnoteReference">
    <w:name w:val="footnote reference"/>
    <w:basedOn w:val="DefaultParagraphFont"/>
    <w:uiPriority w:val="99"/>
    <w:semiHidden/>
    <w:unhideWhenUsed/>
    <w:rsid w:val="00EE73C7"/>
    <w:rPr>
      <w:vertAlign w:val="superscript"/>
    </w:rPr>
  </w:style>
  <w:style w:type="paragraph" w:styleId="Bibliography">
    <w:name w:val="Bibliography"/>
    <w:basedOn w:val="Normal"/>
    <w:next w:val="Normal"/>
    <w:uiPriority w:val="37"/>
    <w:unhideWhenUsed/>
    <w:rsid w:val="00EE73C7"/>
    <w:pPr>
      <w:tabs>
        <w:tab w:val="left" w:pos="504"/>
      </w:tabs>
      <w:spacing w:after="240" w:line="240" w:lineRule="auto"/>
      <w:ind w:left="504" w:hanging="504"/>
    </w:pPr>
  </w:style>
  <w:style w:type="character" w:styleId="FollowedHyperlink">
    <w:name w:val="FollowedHyperlink"/>
    <w:basedOn w:val="DefaultParagraphFont"/>
    <w:uiPriority w:val="99"/>
    <w:semiHidden/>
    <w:unhideWhenUsed/>
    <w:rsid w:val="00EE6973"/>
    <w:rPr>
      <w:color w:val="800080" w:themeColor="followedHyperlink"/>
      <w:u w:val="single"/>
    </w:rPr>
  </w:style>
  <w:style w:type="paragraph" w:styleId="NormalWeb">
    <w:name w:val="Normal (Web)"/>
    <w:basedOn w:val="Normal"/>
    <w:uiPriority w:val="99"/>
    <w:unhideWhenUsed/>
    <w:rsid w:val="00EF48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unhideWhenUsed/>
    <w:rsid w:val="00EF48B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rsid w:val="00EF48B4"/>
    <w:rPr>
      <w:rFonts w:ascii="Arial" w:eastAsia="Times New Roman" w:hAnsi="Arial" w:cs="Arial"/>
      <w:vanish/>
      <w:sz w:val="16"/>
      <w:szCs w:val="16"/>
      <w:lang w:eastAsia="en-GB"/>
    </w:rPr>
  </w:style>
  <w:style w:type="table" w:styleId="MediumList2">
    <w:name w:val="Medium List 2"/>
    <w:basedOn w:val="TableNormal"/>
    <w:uiPriority w:val="66"/>
    <w:rsid w:val="008C21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Revision">
    <w:name w:val="Revision"/>
    <w:hidden/>
    <w:uiPriority w:val="99"/>
    <w:semiHidden/>
    <w:rsid w:val="00DF367E"/>
    <w:pPr>
      <w:spacing w:after="0" w:line="240" w:lineRule="auto"/>
    </w:pPr>
  </w:style>
  <w:style w:type="character" w:customStyle="1" w:styleId="anchor-text">
    <w:name w:val="anchor-text"/>
    <w:basedOn w:val="DefaultParagraphFont"/>
    <w:rsid w:val="00EC471D"/>
  </w:style>
  <w:style w:type="paragraph" w:styleId="PlainText">
    <w:name w:val="Plain Text"/>
    <w:basedOn w:val="Normal"/>
    <w:link w:val="PlainTextChar"/>
    <w:uiPriority w:val="99"/>
    <w:unhideWhenUsed/>
    <w:rsid w:val="00D01551"/>
    <w:pPr>
      <w:spacing w:after="0" w:line="240" w:lineRule="auto"/>
    </w:pPr>
    <w:rPr>
      <w:rFonts w:ascii="Calibri" w:eastAsiaTheme="minorEastAsia" w:hAnsi="Calibri" w:cs="Times New Roman"/>
      <w:szCs w:val="21"/>
      <w:lang w:eastAsia="en-GB"/>
    </w:rPr>
  </w:style>
  <w:style w:type="character" w:customStyle="1" w:styleId="PlainTextChar">
    <w:name w:val="Plain Text Char"/>
    <w:basedOn w:val="DefaultParagraphFont"/>
    <w:link w:val="PlainText"/>
    <w:uiPriority w:val="99"/>
    <w:rsid w:val="00D01551"/>
    <w:rPr>
      <w:rFonts w:ascii="Calibri" w:eastAsiaTheme="minorEastAsia" w:hAnsi="Calibri" w:cs="Times New Roman"/>
      <w:szCs w:val="21"/>
      <w:lang w:eastAsia="en-GB"/>
    </w:rPr>
  </w:style>
  <w:style w:type="paragraph" w:customStyle="1" w:styleId="Default">
    <w:name w:val="Default"/>
    <w:rsid w:val="004D1685"/>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4B52A8"/>
    <w:rPr>
      <w:i/>
      <w:iCs/>
    </w:rPr>
  </w:style>
  <w:style w:type="character" w:customStyle="1" w:styleId="Heading1Char">
    <w:name w:val="Heading 1 Char"/>
    <w:basedOn w:val="DefaultParagraphFont"/>
    <w:link w:val="Heading1"/>
    <w:uiPriority w:val="9"/>
    <w:rsid w:val="00001169"/>
    <w:rPr>
      <w:rFonts w:ascii="LMRoman12" w:eastAsiaTheme="majorEastAsia" w:hAnsi="LMRoman12" w:cstheme="majorBidi"/>
      <w:b/>
      <w:spacing w:val="-16"/>
      <w:sz w:val="48"/>
      <w:szCs w:val="26"/>
      <w:lang w:val="en-US"/>
      <w14:ligatures w14:val="standardContextual"/>
    </w:rPr>
  </w:style>
  <w:style w:type="character" w:customStyle="1" w:styleId="Heading2Char">
    <w:name w:val="Heading 2 Char"/>
    <w:basedOn w:val="DefaultParagraphFont"/>
    <w:link w:val="Heading2"/>
    <w:uiPriority w:val="9"/>
    <w:rsid w:val="00001169"/>
    <w:rPr>
      <w:rFonts w:ascii="LMRoman12" w:eastAsiaTheme="majorEastAsia" w:hAnsi="LMRoman12" w:cstheme="majorBidi"/>
      <w:b/>
      <w:spacing w:val="-10"/>
      <w:sz w:val="30"/>
      <w:szCs w:val="26"/>
      <w:lang w:val="en-US"/>
      <w14:ligatures w14:val="standardContextual"/>
    </w:rPr>
  </w:style>
  <w:style w:type="character" w:customStyle="1" w:styleId="Heading3Char">
    <w:name w:val="Heading 3 Char"/>
    <w:basedOn w:val="DefaultParagraphFont"/>
    <w:link w:val="Heading3"/>
    <w:uiPriority w:val="9"/>
    <w:rsid w:val="00001169"/>
    <w:rPr>
      <w:rFonts w:ascii="LMRoman12" w:eastAsiaTheme="majorEastAsia" w:hAnsi="LMRoman12" w:cstheme="majorBidi"/>
      <w:b/>
      <w:iCs/>
      <w:spacing w:val="-10"/>
      <w:sz w:val="26"/>
      <w:szCs w:val="26"/>
      <w:lang w:val="en-US"/>
      <w14:ligatures w14:val="standardContextual"/>
    </w:rPr>
  </w:style>
  <w:style w:type="character" w:customStyle="1" w:styleId="Heading4Char">
    <w:name w:val="Heading 4 Char"/>
    <w:basedOn w:val="DefaultParagraphFont"/>
    <w:link w:val="Heading4"/>
    <w:uiPriority w:val="9"/>
    <w:rsid w:val="00001169"/>
    <w:rPr>
      <w:rFonts w:ascii="LMRoman12" w:eastAsiaTheme="majorEastAsia" w:hAnsi="LMRoman12" w:cstheme="majorBidi"/>
      <w:b/>
      <w:bCs/>
      <w:spacing w:val="-10"/>
      <w:szCs w:val="26"/>
      <w:lang w:val="en-US"/>
      <w14:ligatures w14:val="standardContextual"/>
    </w:rPr>
  </w:style>
  <w:style w:type="character" w:customStyle="1" w:styleId="Heading5Char">
    <w:name w:val="Heading 5 Char"/>
    <w:basedOn w:val="DefaultParagraphFont"/>
    <w:link w:val="Heading5"/>
    <w:uiPriority w:val="9"/>
    <w:rsid w:val="00001169"/>
    <w:rPr>
      <w:rFonts w:ascii="LMRoman12" w:hAnsi="LMRoman12"/>
      <w:b/>
      <w:spacing w:val="-10"/>
      <w:lang w:val="en-US"/>
      <w14:ligatures w14:val="standardContextual"/>
    </w:rPr>
  </w:style>
  <w:style w:type="character" w:customStyle="1" w:styleId="Heading6Char">
    <w:name w:val="Heading 6 Char"/>
    <w:basedOn w:val="DefaultParagraphFont"/>
    <w:link w:val="Heading6"/>
    <w:uiPriority w:val="9"/>
    <w:rsid w:val="00001169"/>
    <w:rPr>
      <w:rFonts w:ascii="LMRoman12" w:eastAsiaTheme="majorEastAsia" w:hAnsi="LMRoman12" w:cstheme="majorBidi"/>
      <w:b/>
      <w:bCs/>
      <w:spacing w:val="-10"/>
      <w:szCs w:val="26"/>
      <w:lang w:val="en-US"/>
      <w14:ligatures w14:val="standardContextual"/>
    </w:rPr>
  </w:style>
  <w:style w:type="character" w:customStyle="1" w:styleId="Heading7Char">
    <w:name w:val="Heading 7 Char"/>
    <w:aliases w:val="Appendix 1 Char"/>
    <w:basedOn w:val="DefaultParagraphFont"/>
    <w:link w:val="Heading7"/>
    <w:uiPriority w:val="9"/>
    <w:rsid w:val="00001169"/>
    <w:rPr>
      <w:rFonts w:ascii="LMRoman12" w:eastAsiaTheme="majorEastAsia" w:hAnsi="LMRoman12" w:cstheme="majorBidi"/>
      <w:b/>
      <w:spacing w:val="-16"/>
      <w:sz w:val="48"/>
      <w:szCs w:val="26"/>
      <w:lang w:val="en-US"/>
      <w14:ligatures w14:val="standardContextual"/>
    </w:rPr>
  </w:style>
  <w:style w:type="character" w:customStyle="1" w:styleId="Heading8Char">
    <w:name w:val="Heading 8 Char"/>
    <w:basedOn w:val="DefaultParagraphFont"/>
    <w:link w:val="Heading8"/>
    <w:uiPriority w:val="9"/>
    <w:rsid w:val="00001169"/>
    <w:rPr>
      <w:rFonts w:ascii="LMRoman12" w:hAnsi="LMRoman12"/>
      <w:b/>
      <w:spacing w:val="-10"/>
      <w:lang w:val="en-US"/>
      <w14:ligatures w14:val="standardContextual"/>
    </w:rPr>
  </w:style>
  <w:style w:type="character" w:customStyle="1" w:styleId="Heading9Char">
    <w:name w:val="Heading 9 Char"/>
    <w:basedOn w:val="DefaultParagraphFont"/>
    <w:link w:val="Heading9"/>
    <w:uiPriority w:val="9"/>
    <w:rsid w:val="00001169"/>
    <w:rPr>
      <w:rFonts w:ascii="LMRoman12" w:eastAsiaTheme="majorEastAsia" w:hAnsi="LMRoman12" w:cstheme="majorBidi"/>
      <w:b/>
      <w:bCs/>
      <w:spacing w:val="-10"/>
      <w:szCs w:val="26"/>
      <w:lang w:val="en-US"/>
      <w14:ligatures w14:val="standardContextual"/>
    </w:rPr>
  </w:style>
  <w:style w:type="character" w:styleId="SubtleReference">
    <w:name w:val="Subtle Reference"/>
    <w:basedOn w:val="DefaultParagraphFont"/>
    <w:uiPriority w:val="31"/>
    <w:qFormat/>
    <w:rsid w:val="00001169"/>
    <w:rPr>
      <w:smallCaps/>
      <w:color w:val="C0504D" w:themeColor="accent2"/>
      <w:u w:val="single"/>
    </w:rPr>
  </w:style>
  <w:style w:type="paragraph" w:styleId="Subtitle">
    <w:name w:val="Subtitle"/>
    <w:basedOn w:val="Normal"/>
    <w:next w:val="Normal"/>
    <w:link w:val="SubtitleChar"/>
    <w:uiPriority w:val="11"/>
    <w:qFormat/>
    <w:rsid w:val="00001169"/>
    <w:pPr>
      <w:numPr>
        <w:ilvl w:val="1"/>
      </w:numPr>
      <w:spacing w:after="0" w:line="240" w:lineRule="auto"/>
      <w:jc w:val="both"/>
    </w:pPr>
    <w:rPr>
      <w:rFonts w:asciiTheme="majorHAnsi" w:eastAsiaTheme="majorEastAsia" w:hAnsiTheme="majorHAnsi" w:cstheme="majorBidi"/>
      <w:i/>
      <w:iCs/>
      <w:color w:val="4F81BD" w:themeColor="accent1"/>
      <w:spacing w:val="15"/>
      <w:szCs w:val="24"/>
      <w:lang w:val="en-US"/>
      <w14:ligatures w14:val="standardContextual"/>
    </w:rPr>
  </w:style>
  <w:style w:type="character" w:customStyle="1" w:styleId="SubtitleChar">
    <w:name w:val="Subtitle Char"/>
    <w:basedOn w:val="DefaultParagraphFont"/>
    <w:link w:val="Subtitle"/>
    <w:uiPriority w:val="11"/>
    <w:rsid w:val="00001169"/>
    <w:rPr>
      <w:rFonts w:asciiTheme="majorHAnsi" w:eastAsiaTheme="majorEastAsia" w:hAnsiTheme="majorHAnsi" w:cstheme="majorBidi"/>
      <w:i/>
      <w:iCs/>
      <w:color w:val="4F81BD" w:themeColor="accent1"/>
      <w:spacing w:val="15"/>
      <w:szCs w:val="24"/>
      <w:lang w:val="en-US"/>
      <w14:ligatures w14:val="standardContextual"/>
    </w:rPr>
  </w:style>
  <w:style w:type="paragraph" w:styleId="IntenseQuote">
    <w:name w:val="Intense Quote"/>
    <w:basedOn w:val="Normal"/>
    <w:next w:val="Normal"/>
    <w:link w:val="IntenseQuoteChar"/>
    <w:uiPriority w:val="30"/>
    <w:qFormat/>
    <w:rsid w:val="00001169"/>
    <w:pPr>
      <w:pBdr>
        <w:bottom w:val="single" w:sz="4" w:space="4" w:color="4F81BD" w:themeColor="accent1"/>
      </w:pBdr>
      <w:spacing w:before="200" w:after="280" w:line="240" w:lineRule="auto"/>
      <w:ind w:left="936" w:right="936"/>
      <w:jc w:val="both"/>
    </w:pPr>
    <w:rPr>
      <w:rFonts w:ascii="LMRoman12" w:hAnsi="LMRoman12"/>
      <w:b/>
      <w:bCs/>
      <w:i/>
      <w:iCs/>
      <w:color w:val="4F81BD" w:themeColor="accent1"/>
      <w:lang w:val="en-US"/>
      <w14:ligatures w14:val="standardContextual"/>
    </w:rPr>
  </w:style>
  <w:style w:type="character" w:customStyle="1" w:styleId="IntenseQuoteChar">
    <w:name w:val="Intense Quote Char"/>
    <w:basedOn w:val="DefaultParagraphFont"/>
    <w:link w:val="IntenseQuote"/>
    <w:uiPriority w:val="30"/>
    <w:rsid w:val="00001169"/>
    <w:rPr>
      <w:rFonts w:ascii="LMRoman12" w:hAnsi="LMRoman12"/>
      <w:b/>
      <w:bCs/>
      <w:i/>
      <w:iCs/>
      <w:color w:val="4F81BD" w:themeColor="accent1"/>
      <w:lang w:val="en-US"/>
      <w14:ligatures w14:val="standardContextual"/>
    </w:rPr>
  </w:style>
  <w:style w:type="character" w:styleId="PlaceholderText">
    <w:name w:val="Placeholder Text"/>
    <w:basedOn w:val="DefaultParagraphFont"/>
    <w:uiPriority w:val="99"/>
    <w:semiHidden/>
    <w:rsid w:val="00001169"/>
    <w:rPr>
      <w:color w:val="808080"/>
    </w:rPr>
  </w:style>
  <w:style w:type="paragraph" w:customStyle="1" w:styleId="BulletPre">
    <w:name w:val="Bullet Pre"/>
    <w:basedOn w:val="Paragraph-First"/>
    <w:qFormat/>
    <w:rsid w:val="00001169"/>
    <w:pPr>
      <w:spacing w:before="180" w:after="180"/>
    </w:pPr>
  </w:style>
  <w:style w:type="paragraph" w:customStyle="1" w:styleId="Dash">
    <w:name w:val="Dash"/>
    <w:basedOn w:val="Paragraph-First"/>
    <w:qFormat/>
    <w:rsid w:val="00001169"/>
    <w:pPr>
      <w:numPr>
        <w:numId w:val="3"/>
      </w:numPr>
      <w:tabs>
        <w:tab w:val="right" w:pos="1021"/>
      </w:tabs>
      <w:spacing w:before="80" w:after="80"/>
      <w:ind w:left="1021" w:hanging="227"/>
    </w:pPr>
  </w:style>
  <w:style w:type="paragraph" w:styleId="Header">
    <w:name w:val="header"/>
    <w:basedOn w:val="Normal"/>
    <w:link w:val="HeaderChar"/>
    <w:uiPriority w:val="99"/>
    <w:unhideWhenUsed/>
    <w:rsid w:val="00001169"/>
    <w:pPr>
      <w:tabs>
        <w:tab w:val="center" w:pos="4536"/>
        <w:tab w:val="right" w:pos="9072"/>
      </w:tabs>
      <w:spacing w:after="0" w:line="240" w:lineRule="auto"/>
      <w:jc w:val="both"/>
    </w:pPr>
    <w:rPr>
      <w:rFonts w:ascii="LMRoman12" w:hAnsi="LMRoman12"/>
      <w:spacing w:val="2"/>
      <w:sz w:val="20"/>
      <w:lang w:val="en-US"/>
      <w14:ligatures w14:val="standardContextual"/>
    </w:rPr>
  </w:style>
  <w:style w:type="character" w:customStyle="1" w:styleId="HeaderChar">
    <w:name w:val="Header Char"/>
    <w:basedOn w:val="DefaultParagraphFont"/>
    <w:link w:val="Header"/>
    <w:uiPriority w:val="99"/>
    <w:rsid w:val="00001169"/>
    <w:rPr>
      <w:rFonts w:ascii="LMRoman12" w:hAnsi="LMRoman12"/>
      <w:spacing w:val="2"/>
      <w:sz w:val="20"/>
      <w:lang w:val="en-US"/>
      <w14:ligatures w14:val="standardContextual"/>
    </w:rPr>
  </w:style>
  <w:style w:type="paragraph" w:styleId="Footer">
    <w:name w:val="footer"/>
    <w:basedOn w:val="Normal"/>
    <w:link w:val="FooterChar"/>
    <w:uiPriority w:val="99"/>
    <w:unhideWhenUsed/>
    <w:rsid w:val="00001169"/>
    <w:pPr>
      <w:tabs>
        <w:tab w:val="center" w:pos="4536"/>
        <w:tab w:val="right" w:pos="9072"/>
      </w:tabs>
      <w:spacing w:after="0" w:line="240" w:lineRule="auto"/>
      <w:jc w:val="both"/>
    </w:pPr>
    <w:rPr>
      <w:rFonts w:ascii="LMRoman12" w:hAnsi="LMRoman12"/>
      <w:lang w:val="en-US"/>
      <w14:ligatures w14:val="standardContextual"/>
    </w:rPr>
  </w:style>
  <w:style w:type="character" w:customStyle="1" w:styleId="FooterChar">
    <w:name w:val="Footer Char"/>
    <w:basedOn w:val="DefaultParagraphFont"/>
    <w:link w:val="Footer"/>
    <w:uiPriority w:val="99"/>
    <w:rsid w:val="00001169"/>
    <w:rPr>
      <w:rFonts w:ascii="LMRoman12" w:hAnsi="LMRoman12"/>
      <w:lang w:val="en-US"/>
      <w14:ligatures w14:val="standardContextual"/>
    </w:rPr>
  </w:style>
  <w:style w:type="paragraph" w:customStyle="1" w:styleId="Table">
    <w:name w:val="Table"/>
    <w:basedOn w:val="Normal"/>
    <w:qFormat/>
    <w:rsid w:val="00001169"/>
    <w:pPr>
      <w:spacing w:after="0" w:line="240" w:lineRule="auto"/>
      <w:jc w:val="both"/>
    </w:pPr>
    <w:rPr>
      <w:rFonts w:ascii="LMRoman12" w:hAnsi="LMRoman12"/>
      <w:lang w:val="en-US"/>
      <w14:ligatures w14:val="standardContextual"/>
    </w:rPr>
  </w:style>
  <w:style w:type="paragraph" w:styleId="TOCHeading">
    <w:name w:val="TOC Heading"/>
    <w:basedOn w:val="Heading1"/>
    <w:next w:val="Normal"/>
    <w:uiPriority w:val="39"/>
    <w:unhideWhenUsed/>
    <w:qFormat/>
    <w:rsid w:val="00001169"/>
    <w:pPr>
      <w:spacing w:before="480" w:after="0" w:line="276" w:lineRule="auto"/>
      <w:outlineLvl w:val="9"/>
    </w:pPr>
    <w:rPr>
      <w:rFonts w:asciiTheme="majorHAnsi" w:hAnsiTheme="majorHAnsi"/>
      <w:sz w:val="28"/>
      <w:lang w:eastAsia="ja-JP"/>
    </w:rPr>
  </w:style>
  <w:style w:type="paragraph" w:styleId="TOC2">
    <w:name w:val="toc 2"/>
    <w:basedOn w:val="TOCPre"/>
    <w:next w:val="Normal"/>
    <w:autoRedefine/>
    <w:uiPriority w:val="39"/>
    <w:unhideWhenUsed/>
    <w:qFormat/>
    <w:rsid w:val="00001169"/>
    <w:pPr>
      <w:tabs>
        <w:tab w:val="right" w:leader="dot" w:pos="8493"/>
      </w:tabs>
      <w:ind w:left="822" w:hanging="499"/>
      <w:jc w:val="left"/>
    </w:pPr>
    <w:rPr>
      <w:bCs/>
      <w:szCs w:val="20"/>
    </w:rPr>
  </w:style>
  <w:style w:type="paragraph" w:styleId="TOC1">
    <w:name w:val="toc 1"/>
    <w:basedOn w:val="TOCPre"/>
    <w:next w:val="Normal"/>
    <w:autoRedefine/>
    <w:uiPriority w:val="39"/>
    <w:unhideWhenUsed/>
    <w:qFormat/>
    <w:rsid w:val="00001169"/>
    <w:pPr>
      <w:tabs>
        <w:tab w:val="right" w:pos="8493"/>
      </w:tabs>
      <w:spacing w:before="220" w:line="204" w:lineRule="auto"/>
      <w:ind w:left="323" w:hanging="323"/>
      <w:jc w:val="left"/>
    </w:pPr>
    <w:rPr>
      <w:b/>
      <w:bCs/>
      <w:szCs w:val="24"/>
    </w:rPr>
  </w:style>
  <w:style w:type="paragraph" w:styleId="TOC3">
    <w:name w:val="toc 3"/>
    <w:basedOn w:val="TOCPre"/>
    <w:next w:val="Normal"/>
    <w:autoRedefine/>
    <w:uiPriority w:val="39"/>
    <w:unhideWhenUsed/>
    <w:qFormat/>
    <w:rsid w:val="00001169"/>
    <w:pPr>
      <w:tabs>
        <w:tab w:val="right" w:leader="dot" w:pos="8494"/>
      </w:tabs>
      <w:ind w:left="1514" w:hanging="692"/>
      <w:jc w:val="left"/>
    </w:pPr>
    <w:rPr>
      <w:szCs w:val="20"/>
    </w:rPr>
  </w:style>
  <w:style w:type="paragraph" w:styleId="TOC4">
    <w:name w:val="toc 4"/>
    <w:basedOn w:val="TOCPre"/>
    <w:next w:val="Normal"/>
    <w:autoRedefine/>
    <w:uiPriority w:val="39"/>
    <w:unhideWhenUsed/>
    <w:rsid w:val="00001169"/>
    <w:pPr>
      <w:tabs>
        <w:tab w:val="right" w:leader="dot" w:pos="8494"/>
      </w:tabs>
      <w:ind w:left="2410" w:hanging="896"/>
      <w:jc w:val="left"/>
    </w:pPr>
  </w:style>
  <w:style w:type="paragraph" w:styleId="TOC5">
    <w:name w:val="toc 5"/>
    <w:basedOn w:val="TOCPre"/>
    <w:next w:val="Normal"/>
    <w:autoRedefine/>
    <w:uiPriority w:val="39"/>
    <w:unhideWhenUsed/>
    <w:rsid w:val="00001169"/>
    <w:pPr>
      <w:tabs>
        <w:tab w:val="right" w:leader="dot" w:pos="8494"/>
      </w:tabs>
      <w:ind w:left="3255" w:hanging="1083"/>
      <w:jc w:val="left"/>
    </w:pPr>
    <w:rPr>
      <w:szCs w:val="20"/>
    </w:rPr>
  </w:style>
  <w:style w:type="paragraph" w:styleId="TOC6">
    <w:name w:val="toc 6"/>
    <w:basedOn w:val="TOCPre"/>
    <w:next w:val="Normal"/>
    <w:autoRedefine/>
    <w:uiPriority w:val="39"/>
    <w:unhideWhenUsed/>
    <w:rsid w:val="00001169"/>
    <w:pPr>
      <w:tabs>
        <w:tab w:val="right" w:leader="dot" w:pos="8493"/>
      </w:tabs>
      <w:ind w:left="3918" w:hanging="1315"/>
      <w:jc w:val="left"/>
    </w:pPr>
    <w:rPr>
      <w:szCs w:val="20"/>
    </w:rPr>
  </w:style>
  <w:style w:type="paragraph" w:styleId="TOC7">
    <w:name w:val="toc 7"/>
    <w:basedOn w:val="TOCPre"/>
    <w:next w:val="Normal"/>
    <w:autoRedefine/>
    <w:uiPriority w:val="39"/>
    <w:unhideWhenUsed/>
    <w:rsid w:val="00001169"/>
    <w:pPr>
      <w:tabs>
        <w:tab w:val="right" w:pos="8493"/>
      </w:tabs>
      <w:spacing w:before="220" w:line="204" w:lineRule="auto"/>
      <w:jc w:val="left"/>
    </w:pPr>
    <w:rPr>
      <w:b/>
      <w:szCs w:val="20"/>
    </w:rPr>
  </w:style>
  <w:style w:type="paragraph" w:styleId="TOC8">
    <w:name w:val="toc 8"/>
    <w:basedOn w:val="TOCPre"/>
    <w:next w:val="Normal"/>
    <w:autoRedefine/>
    <w:uiPriority w:val="39"/>
    <w:unhideWhenUsed/>
    <w:rsid w:val="00001169"/>
    <w:pPr>
      <w:spacing w:before="220" w:line="204" w:lineRule="auto"/>
      <w:ind w:left="1474" w:hanging="1474"/>
      <w:jc w:val="left"/>
    </w:pPr>
    <w:rPr>
      <w:b/>
      <w:szCs w:val="20"/>
    </w:rPr>
  </w:style>
  <w:style w:type="paragraph" w:styleId="TOC9">
    <w:name w:val="toc 9"/>
    <w:basedOn w:val="Normal"/>
    <w:next w:val="Normal"/>
    <w:autoRedefine/>
    <w:uiPriority w:val="39"/>
    <w:unhideWhenUsed/>
    <w:rsid w:val="00001169"/>
    <w:pPr>
      <w:spacing w:after="0" w:line="240" w:lineRule="auto"/>
      <w:ind w:left="1540"/>
    </w:pPr>
    <w:rPr>
      <w:sz w:val="20"/>
      <w:szCs w:val="20"/>
      <w:lang w:val="en-US"/>
      <w14:ligatures w14:val="standardContextual"/>
    </w:rPr>
  </w:style>
  <w:style w:type="paragraph" w:customStyle="1" w:styleId="Definition">
    <w:name w:val="Definition"/>
    <w:basedOn w:val="DefinitionTheoremProofPre"/>
    <w:next w:val="Paragraph-Next"/>
    <w:qFormat/>
    <w:rsid w:val="00001169"/>
    <w:pPr>
      <w:spacing w:before="114"/>
    </w:pPr>
  </w:style>
  <w:style w:type="paragraph" w:customStyle="1" w:styleId="Appendix2">
    <w:name w:val="Appendix 2"/>
    <w:basedOn w:val="Heading2"/>
    <w:next w:val="Paragraph-First"/>
    <w:qFormat/>
    <w:rsid w:val="00001169"/>
    <w:pPr>
      <w:numPr>
        <w:numId w:val="5"/>
      </w:numPr>
    </w:pPr>
  </w:style>
  <w:style w:type="paragraph" w:customStyle="1" w:styleId="Appendix3">
    <w:name w:val="Appendix 3"/>
    <w:basedOn w:val="Heading3"/>
    <w:next w:val="Paragraph-First"/>
    <w:qFormat/>
    <w:rsid w:val="00001169"/>
    <w:pPr>
      <w:numPr>
        <w:numId w:val="5"/>
      </w:numPr>
    </w:pPr>
  </w:style>
  <w:style w:type="paragraph" w:customStyle="1" w:styleId="Appendix4">
    <w:name w:val="Appendix 4"/>
    <w:basedOn w:val="Heading4"/>
    <w:next w:val="Paragraph-First"/>
    <w:qFormat/>
    <w:rsid w:val="00001169"/>
    <w:pPr>
      <w:numPr>
        <w:numId w:val="5"/>
      </w:numPr>
    </w:pPr>
  </w:style>
  <w:style w:type="paragraph" w:styleId="Index1">
    <w:name w:val="index 1"/>
    <w:basedOn w:val="Paragraph-First"/>
    <w:next w:val="Normal"/>
    <w:autoRedefine/>
    <w:uiPriority w:val="99"/>
    <w:unhideWhenUsed/>
    <w:rsid w:val="00001169"/>
    <w:pPr>
      <w:tabs>
        <w:tab w:val="right" w:leader="dot" w:pos="8493"/>
      </w:tabs>
    </w:pPr>
  </w:style>
  <w:style w:type="paragraph" w:styleId="Index2">
    <w:name w:val="index 2"/>
    <w:basedOn w:val="Paragraph-First"/>
    <w:next w:val="Normal"/>
    <w:autoRedefine/>
    <w:uiPriority w:val="99"/>
    <w:unhideWhenUsed/>
    <w:rsid w:val="00001169"/>
    <w:pPr>
      <w:tabs>
        <w:tab w:val="right" w:leader="dot" w:pos="8493"/>
      </w:tabs>
      <w:ind w:left="681" w:hanging="284"/>
    </w:pPr>
  </w:style>
  <w:style w:type="paragraph" w:styleId="TableofFigures">
    <w:name w:val="table of figures"/>
    <w:basedOn w:val="Normal"/>
    <w:next w:val="Normal"/>
    <w:link w:val="TableofFiguresChar"/>
    <w:uiPriority w:val="99"/>
    <w:unhideWhenUsed/>
    <w:rsid w:val="00001169"/>
    <w:pPr>
      <w:tabs>
        <w:tab w:val="left" w:pos="1134"/>
        <w:tab w:val="left" w:pos="1701"/>
        <w:tab w:val="left" w:pos="2268"/>
        <w:tab w:val="right" w:leader="dot" w:pos="8505"/>
      </w:tabs>
      <w:spacing w:after="0" w:line="209" w:lineRule="auto"/>
      <w:jc w:val="both"/>
    </w:pPr>
    <w:rPr>
      <w:rFonts w:ascii="LMRoman12" w:hAnsi="LMRoman12"/>
      <w:noProof/>
      <w:lang w:val="en-US"/>
      <w14:ligatures w14:val="standardContextual"/>
    </w:rPr>
  </w:style>
  <w:style w:type="paragraph" w:customStyle="1" w:styleId="Heading1-NoNum-NoTOC">
    <w:name w:val="Heading 1 - NoNum-NoTOC"/>
    <w:basedOn w:val="Heading1-NoNum"/>
    <w:next w:val="Paragraph-First"/>
    <w:qFormat/>
    <w:rsid w:val="00001169"/>
  </w:style>
  <w:style w:type="paragraph" w:customStyle="1" w:styleId="Heading1-Chapter">
    <w:name w:val="Heading 1 - Chapter"/>
    <w:basedOn w:val="Normal"/>
    <w:next w:val="Normal"/>
    <w:qFormat/>
    <w:rsid w:val="00001169"/>
    <w:pPr>
      <w:spacing w:before="1260" w:after="340" w:line="240" w:lineRule="auto"/>
      <w:jc w:val="both"/>
    </w:pPr>
    <w:rPr>
      <w:rFonts w:ascii="LMRoman12" w:hAnsi="LMRoman12"/>
      <w:b/>
      <w:spacing w:val="-16"/>
      <w:sz w:val="42"/>
      <w:szCs w:val="42"/>
      <w:lang w:val="en-US"/>
      <w14:ligatures w14:val="standardContextual"/>
    </w:rPr>
  </w:style>
  <w:style w:type="paragraph" w:customStyle="1" w:styleId="Paragraph-Next">
    <w:name w:val="Paragraph - Next"/>
    <w:basedOn w:val="Paragraph-First"/>
    <w:qFormat/>
    <w:rsid w:val="00001169"/>
    <w:pPr>
      <w:ind w:firstLine="323"/>
    </w:pPr>
  </w:style>
  <w:style w:type="paragraph" w:customStyle="1" w:styleId="HeadingPre">
    <w:name w:val="Heading Pre"/>
    <w:basedOn w:val="Normal"/>
    <w:qFormat/>
    <w:rsid w:val="00001169"/>
    <w:pPr>
      <w:keepNext/>
      <w:keepLines/>
      <w:spacing w:after="0" w:line="240" w:lineRule="auto"/>
      <w:jc w:val="both"/>
    </w:pPr>
    <w:rPr>
      <w:rFonts w:ascii="LMRoman12" w:hAnsi="LMRoman12"/>
      <w:spacing w:val="-10"/>
      <w:lang w:val="en-US"/>
      <w14:ligatures w14:val="standardContextual"/>
    </w:rPr>
  </w:style>
  <w:style w:type="paragraph" w:customStyle="1" w:styleId="Paragraph-First">
    <w:name w:val="Paragraph - First"/>
    <w:basedOn w:val="Normal"/>
    <w:next w:val="Paragraph-Next"/>
    <w:qFormat/>
    <w:rsid w:val="00001169"/>
    <w:pPr>
      <w:spacing w:after="0" w:line="209" w:lineRule="auto"/>
      <w:jc w:val="both"/>
    </w:pPr>
    <w:rPr>
      <w:rFonts w:ascii="LMRoman12" w:hAnsi="LMRoman12"/>
      <w:lang w:val="en-US"/>
      <w14:ligatures w14:val="standardContextual"/>
    </w:rPr>
  </w:style>
  <w:style w:type="character" w:customStyle="1" w:styleId="StyleFootnoteReferenceItalic">
    <w:name w:val="Style Footnote Reference + Italic"/>
    <w:basedOn w:val="FootnoteReference"/>
    <w:rsid w:val="00001169"/>
    <w:rPr>
      <w:i w:val="0"/>
      <w:iCs/>
      <w:spacing w:val="0"/>
      <w:w w:val="100"/>
      <w:vertAlign w:val="superscript"/>
    </w:rPr>
  </w:style>
  <w:style w:type="paragraph" w:styleId="EndnoteText">
    <w:name w:val="endnote text"/>
    <w:basedOn w:val="Normal"/>
    <w:link w:val="EndnoteTextChar"/>
    <w:uiPriority w:val="99"/>
    <w:semiHidden/>
    <w:unhideWhenUsed/>
    <w:rsid w:val="00001169"/>
    <w:pPr>
      <w:spacing w:after="0" w:line="240" w:lineRule="auto"/>
      <w:jc w:val="both"/>
    </w:pPr>
    <w:rPr>
      <w:rFonts w:ascii="LMRoman12" w:hAnsi="LMRoman12"/>
      <w:sz w:val="20"/>
      <w:szCs w:val="20"/>
      <w:lang w:val="en-US"/>
      <w14:ligatures w14:val="standardContextual"/>
    </w:rPr>
  </w:style>
  <w:style w:type="character" w:customStyle="1" w:styleId="EndnoteTextChar">
    <w:name w:val="Endnote Text Char"/>
    <w:basedOn w:val="DefaultParagraphFont"/>
    <w:link w:val="EndnoteText"/>
    <w:uiPriority w:val="99"/>
    <w:semiHidden/>
    <w:rsid w:val="00001169"/>
    <w:rPr>
      <w:rFonts w:ascii="LMRoman12" w:hAnsi="LMRoman12"/>
      <w:sz w:val="20"/>
      <w:szCs w:val="20"/>
      <w:lang w:val="en-US"/>
      <w14:ligatures w14:val="standardContextual"/>
    </w:rPr>
  </w:style>
  <w:style w:type="character" w:styleId="EndnoteReference">
    <w:name w:val="endnote reference"/>
    <w:basedOn w:val="DefaultParagraphFont"/>
    <w:uiPriority w:val="99"/>
    <w:semiHidden/>
    <w:unhideWhenUsed/>
    <w:rsid w:val="00001169"/>
    <w:rPr>
      <w:vertAlign w:val="superscript"/>
    </w:rPr>
  </w:style>
  <w:style w:type="paragraph" w:customStyle="1" w:styleId="Bullet1">
    <w:name w:val="Bullet 1"/>
    <w:basedOn w:val="BulletPre"/>
    <w:rsid w:val="00001169"/>
    <w:pPr>
      <w:numPr>
        <w:numId w:val="2"/>
      </w:numPr>
    </w:pPr>
  </w:style>
  <w:style w:type="paragraph" w:customStyle="1" w:styleId="Bullet2">
    <w:name w:val="Bullet 2"/>
    <w:basedOn w:val="BulletPre"/>
    <w:rsid w:val="00001169"/>
    <w:pPr>
      <w:numPr>
        <w:ilvl w:val="1"/>
        <w:numId w:val="2"/>
      </w:numPr>
      <w:spacing w:before="80" w:after="80"/>
    </w:pPr>
  </w:style>
  <w:style w:type="paragraph" w:customStyle="1" w:styleId="Bullet3">
    <w:name w:val="Bullet 3"/>
    <w:basedOn w:val="BulletPre"/>
    <w:rsid w:val="00001169"/>
    <w:pPr>
      <w:numPr>
        <w:ilvl w:val="2"/>
        <w:numId w:val="2"/>
      </w:numPr>
      <w:spacing w:before="40" w:after="40"/>
    </w:pPr>
  </w:style>
  <w:style w:type="paragraph" w:customStyle="1" w:styleId="FootnoteSeparator">
    <w:name w:val="Footnote Separator"/>
    <w:basedOn w:val="Normal"/>
    <w:next w:val="Normal"/>
    <w:qFormat/>
    <w:rsid w:val="00001169"/>
    <w:pPr>
      <w:spacing w:after="0" w:line="60" w:lineRule="exact"/>
      <w:jc w:val="both"/>
    </w:pPr>
    <w:rPr>
      <w:rFonts w:ascii="LMRoman12" w:hAnsi="LMRoman12"/>
      <w:sz w:val="4"/>
      <w:lang w:val="en-US"/>
      <w14:ligatures w14:val="standardContextual"/>
    </w:rPr>
  </w:style>
  <w:style w:type="paragraph" w:customStyle="1" w:styleId="Bullet1-NoBullet">
    <w:name w:val="Bullet 1 - NoBullet"/>
    <w:basedOn w:val="Bullet1"/>
    <w:qFormat/>
    <w:rsid w:val="00001169"/>
    <w:pPr>
      <w:numPr>
        <w:numId w:val="0"/>
      </w:numPr>
      <w:ind w:left="544"/>
    </w:pPr>
  </w:style>
  <w:style w:type="paragraph" w:customStyle="1" w:styleId="Bullet2-NoBullet">
    <w:name w:val="Bullet 2 - NoBullet"/>
    <w:basedOn w:val="Bullet2"/>
    <w:qFormat/>
    <w:rsid w:val="00001169"/>
    <w:pPr>
      <w:numPr>
        <w:ilvl w:val="0"/>
        <w:numId w:val="0"/>
      </w:numPr>
      <w:ind w:left="1021"/>
    </w:pPr>
  </w:style>
  <w:style w:type="paragraph" w:customStyle="1" w:styleId="Bullet3-NoBullet">
    <w:name w:val="Bullet 3 - NoBullet"/>
    <w:basedOn w:val="Bullet3"/>
    <w:qFormat/>
    <w:rsid w:val="00001169"/>
    <w:pPr>
      <w:numPr>
        <w:ilvl w:val="0"/>
        <w:numId w:val="0"/>
      </w:numPr>
      <w:ind w:left="1247"/>
    </w:pPr>
  </w:style>
  <w:style w:type="character" w:customStyle="1" w:styleId="Code">
    <w:name w:val="Code"/>
    <w:basedOn w:val="DefaultParagraphFont"/>
    <w:uiPriority w:val="1"/>
    <w:qFormat/>
    <w:rsid w:val="00001169"/>
    <w:rPr>
      <w:rFonts w:ascii="LMMono12" w:hAnsi="LMMono12"/>
      <w:sz w:val="22"/>
    </w:rPr>
  </w:style>
  <w:style w:type="paragraph" w:customStyle="1" w:styleId="Appendix5">
    <w:name w:val="Appendix 5"/>
    <w:basedOn w:val="Heading5"/>
    <w:next w:val="Paragraph-First"/>
    <w:qFormat/>
    <w:rsid w:val="00001169"/>
    <w:pPr>
      <w:numPr>
        <w:numId w:val="5"/>
      </w:numPr>
      <w:tabs>
        <w:tab w:val="left" w:pos="1151"/>
      </w:tabs>
    </w:pPr>
  </w:style>
  <w:style w:type="paragraph" w:customStyle="1" w:styleId="Appendix6">
    <w:name w:val="Appendix 6"/>
    <w:basedOn w:val="Heading6"/>
    <w:next w:val="Paragraph-First"/>
    <w:qFormat/>
    <w:rsid w:val="00001169"/>
    <w:pPr>
      <w:numPr>
        <w:numId w:val="5"/>
      </w:numPr>
    </w:pPr>
  </w:style>
  <w:style w:type="paragraph" w:customStyle="1" w:styleId="Appendix1-Appendix">
    <w:name w:val="Appendix 1 - Appendix"/>
    <w:basedOn w:val="Heading1-Chapter"/>
    <w:next w:val="Normal"/>
    <w:qFormat/>
    <w:rsid w:val="00001169"/>
    <w:pPr>
      <w:outlineLvl w:val="0"/>
    </w:pPr>
  </w:style>
  <w:style w:type="character" w:customStyle="1" w:styleId="Word-ManualCharacterStyleExample">
    <w:name w:val="Word - Manual Character Style Example"/>
    <w:basedOn w:val="DefaultParagraphFont"/>
    <w:uiPriority w:val="1"/>
    <w:qFormat/>
    <w:rsid w:val="00001169"/>
    <w:rPr>
      <w:rFonts w:asciiTheme="majorHAnsi" w:hAnsiTheme="majorHAnsi" w:cs="Courier New"/>
    </w:rPr>
  </w:style>
  <w:style w:type="paragraph" w:customStyle="1" w:styleId="TitleFront-Title">
    <w:name w:val="TitleFront - Title"/>
    <w:basedOn w:val="Paragraph-First"/>
    <w:qFormat/>
    <w:rsid w:val="00001169"/>
    <w:pPr>
      <w:jc w:val="right"/>
    </w:pPr>
    <w:rPr>
      <w:sz w:val="39"/>
      <w:szCs w:val="39"/>
    </w:rPr>
  </w:style>
  <w:style w:type="paragraph" w:customStyle="1" w:styleId="TitleFront-Name">
    <w:name w:val="TitleFront - Name"/>
    <w:basedOn w:val="Paragraph-First"/>
    <w:qFormat/>
    <w:rsid w:val="00001169"/>
    <w:pPr>
      <w:jc w:val="right"/>
    </w:pPr>
    <w:rPr>
      <w:sz w:val="33"/>
      <w:szCs w:val="33"/>
    </w:rPr>
  </w:style>
  <w:style w:type="paragraph" w:customStyle="1" w:styleId="TitleBack">
    <w:name w:val="TitleBack"/>
    <w:basedOn w:val="TitleFront-Title"/>
    <w:qFormat/>
    <w:rsid w:val="00001169"/>
    <w:pPr>
      <w:jc w:val="left"/>
    </w:pPr>
    <w:rPr>
      <w:sz w:val="22"/>
      <w:szCs w:val="22"/>
    </w:rPr>
  </w:style>
  <w:style w:type="character" w:customStyle="1" w:styleId="Title-Emphasis">
    <w:name w:val="Title - Emphasis"/>
    <w:basedOn w:val="DefaultParagraphFont"/>
    <w:uiPriority w:val="1"/>
    <w:qFormat/>
    <w:rsid w:val="00001169"/>
    <w:rPr>
      <w:b/>
    </w:rPr>
  </w:style>
  <w:style w:type="paragraph" w:customStyle="1" w:styleId="TitlePage-Title">
    <w:name w:val="TitlePage - Title"/>
    <w:basedOn w:val="Paragraph-First"/>
    <w:qFormat/>
    <w:rsid w:val="00001169"/>
    <w:rPr>
      <w:sz w:val="33"/>
      <w:szCs w:val="33"/>
    </w:rPr>
  </w:style>
  <w:style w:type="paragraph" w:customStyle="1" w:styleId="TitlePage-Dissertation">
    <w:name w:val="TitlePage - Dissertation"/>
    <w:basedOn w:val="Paragraph-First"/>
    <w:qFormat/>
    <w:rsid w:val="00001169"/>
    <w:rPr>
      <w:sz w:val="28"/>
    </w:rPr>
  </w:style>
  <w:style w:type="paragraph" w:customStyle="1" w:styleId="TitlePage-Supervisor">
    <w:name w:val="TitlePage - Supervisor"/>
    <w:basedOn w:val="Normal"/>
    <w:qFormat/>
    <w:rsid w:val="00001169"/>
    <w:pPr>
      <w:spacing w:after="0" w:line="240" w:lineRule="auto"/>
      <w:jc w:val="both"/>
    </w:pPr>
    <w:rPr>
      <w:rFonts w:ascii="LMRoman12" w:hAnsi="LMRoman12"/>
      <w:sz w:val="24"/>
      <w:lang w:val="en-US"/>
      <w14:ligatures w14:val="standardContextual"/>
    </w:rPr>
  </w:style>
  <w:style w:type="paragraph" w:customStyle="1" w:styleId="Dedication">
    <w:name w:val="Dedication"/>
    <w:basedOn w:val="Paragraph-First"/>
    <w:qFormat/>
    <w:rsid w:val="00001169"/>
    <w:pPr>
      <w:spacing w:before="2260"/>
      <w:jc w:val="center"/>
    </w:pPr>
    <w:rPr>
      <w:i/>
      <w:sz w:val="28"/>
      <w:szCs w:val="30"/>
    </w:rPr>
  </w:style>
  <w:style w:type="paragraph" w:customStyle="1" w:styleId="TOCPre">
    <w:name w:val="TOC Pre"/>
    <w:basedOn w:val="Normal"/>
    <w:qFormat/>
    <w:rsid w:val="00001169"/>
    <w:pPr>
      <w:spacing w:after="0" w:line="210" w:lineRule="auto"/>
      <w:jc w:val="both"/>
    </w:pPr>
    <w:rPr>
      <w:rFonts w:ascii="LMRoman12" w:hAnsi="LMRoman12"/>
      <w:noProof/>
      <w:lang w:val="en-US"/>
      <w14:ligatures w14:val="standardContextual"/>
    </w:rPr>
  </w:style>
  <w:style w:type="paragraph" w:customStyle="1" w:styleId="Equation">
    <w:name w:val="Equation"/>
    <w:basedOn w:val="Paragraph-First"/>
    <w:qFormat/>
    <w:rsid w:val="00001169"/>
    <w:pPr>
      <w:tabs>
        <w:tab w:val="center" w:pos="4253"/>
        <w:tab w:val="right" w:pos="8494"/>
      </w:tabs>
      <w:spacing w:before="220" w:after="220" w:line="240" w:lineRule="auto"/>
    </w:pPr>
    <w:rPr>
      <w:rFonts w:ascii="LMMath" w:hAnsi="LMMath"/>
      <w:spacing w:val="2"/>
    </w:rPr>
  </w:style>
  <w:style w:type="character" w:customStyle="1" w:styleId="Numbering-Equation">
    <w:name w:val="Numbering -  Equation"/>
    <w:basedOn w:val="DefaultParagraphFont"/>
    <w:uiPriority w:val="1"/>
    <w:qFormat/>
    <w:rsid w:val="00001169"/>
  </w:style>
  <w:style w:type="character" w:customStyle="1" w:styleId="Definition-Head">
    <w:name w:val="Definition - Head"/>
    <w:basedOn w:val="DefaultParagraphFont"/>
    <w:uiPriority w:val="1"/>
    <w:qFormat/>
    <w:rsid w:val="00001169"/>
    <w:rPr>
      <w:b/>
    </w:rPr>
  </w:style>
  <w:style w:type="paragraph" w:customStyle="1" w:styleId="Theorem">
    <w:name w:val="Theorem"/>
    <w:basedOn w:val="DefinitionTheoremProofPre"/>
    <w:next w:val="Paragraph-Next"/>
    <w:qFormat/>
    <w:rsid w:val="00001169"/>
  </w:style>
  <w:style w:type="character" w:customStyle="1" w:styleId="Theorem-Head">
    <w:name w:val="Theorem - Head"/>
    <w:basedOn w:val="DefaultParagraphFont"/>
    <w:uiPriority w:val="1"/>
    <w:qFormat/>
    <w:rsid w:val="00001169"/>
    <w:rPr>
      <w:b/>
    </w:rPr>
  </w:style>
  <w:style w:type="paragraph" w:customStyle="1" w:styleId="DefinitionTheoremProofPre">
    <w:name w:val="DefinitionTheoremProof Pre"/>
    <w:basedOn w:val="Paragraph-First"/>
    <w:qFormat/>
    <w:rsid w:val="00001169"/>
    <w:pPr>
      <w:spacing w:before="180"/>
    </w:pPr>
  </w:style>
  <w:style w:type="paragraph" w:customStyle="1" w:styleId="Caption-FigureCentered">
    <w:name w:val="Caption - Figure Centered"/>
    <w:basedOn w:val="Paragraph-First"/>
    <w:next w:val="Paragraph-Next"/>
    <w:qFormat/>
    <w:rsid w:val="00001169"/>
    <w:pPr>
      <w:tabs>
        <w:tab w:val="left" w:pos="1106"/>
        <w:tab w:val="left" w:pos="1219"/>
      </w:tabs>
      <w:spacing w:before="180" w:after="360"/>
      <w:jc w:val="center"/>
    </w:pPr>
    <w:rPr>
      <w:noProof/>
      <w:lang w:val="sl-SI" w:eastAsia="sl-SI"/>
    </w:rPr>
  </w:style>
  <w:style w:type="paragraph" w:customStyle="1" w:styleId="Caption-FigureMultipleLines">
    <w:name w:val="Caption - Figure MultipleLines"/>
    <w:basedOn w:val="Caption-FigureCentered"/>
    <w:next w:val="Paragraph-Next"/>
    <w:qFormat/>
    <w:rsid w:val="00001169"/>
    <w:pPr>
      <w:jc w:val="both"/>
    </w:pPr>
  </w:style>
  <w:style w:type="paragraph" w:customStyle="1" w:styleId="Image-Centered">
    <w:name w:val="Image - Centered"/>
    <w:basedOn w:val="Paragraph-First"/>
    <w:qFormat/>
    <w:rsid w:val="00001169"/>
    <w:pPr>
      <w:spacing w:before="180" w:after="180" w:line="240" w:lineRule="auto"/>
      <w:jc w:val="center"/>
    </w:pPr>
    <w:rPr>
      <w:noProof/>
      <w:lang w:val="sl-SI" w:eastAsia="sl-SI"/>
    </w:rPr>
  </w:style>
  <w:style w:type="character" w:customStyle="1" w:styleId="Proof-Head">
    <w:name w:val="Proof - Head"/>
    <w:basedOn w:val="DefaultParagraphFont"/>
    <w:uiPriority w:val="1"/>
    <w:qFormat/>
    <w:rsid w:val="00001169"/>
    <w:rPr>
      <w:i/>
    </w:rPr>
  </w:style>
  <w:style w:type="paragraph" w:customStyle="1" w:styleId="Proof">
    <w:name w:val="Proof"/>
    <w:basedOn w:val="DefinitionTheoremProofPre"/>
    <w:qFormat/>
    <w:rsid w:val="00001169"/>
  </w:style>
  <w:style w:type="character" w:customStyle="1" w:styleId="Theorem-Text">
    <w:name w:val="Theorem - Text"/>
    <w:basedOn w:val="DefaultParagraphFont"/>
    <w:uiPriority w:val="1"/>
    <w:qFormat/>
    <w:rsid w:val="00001169"/>
    <w:rPr>
      <w:i/>
    </w:rPr>
  </w:style>
  <w:style w:type="paragraph" w:customStyle="1" w:styleId="Equation-NarrowTop">
    <w:name w:val="Equation - NarrowTop"/>
    <w:basedOn w:val="Equation"/>
    <w:qFormat/>
    <w:rsid w:val="00001169"/>
    <w:pPr>
      <w:spacing w:before="0"/>
    </w:pPr>
    <w:rPr>
      <w:rFonts w:cs="SFTI1200"/>
      <w:i/>
    </w:rPr>
  </w:style>
  <w:style w:type="paragraph" w:customStyle="1" w:styleId="Equation-Narrow">
    <w:name w:val="Equation - Narrow"/>
    <w:basedOn w:val="Equation"/>
    <w:qFormat/>
    <w:rsid w:val="00001169"/>
    <w:pPr>
      <w:spacing w:before="0" w:after="0"/>
    </w:pPr>
    <w:rPr>
      <w:rFonts w:eastAsiaTheme="minorEastAsia"/>
    </w:rPr>
  </w:style>
  <w:style w:type="paragraph" w:customStyle="1" w:styleId="Caption-TableCentered">
    <w:name w:val="Caption - Table Centered"/>
    <w:basedOn w:val="Caption-FigureCentered"/>
    <w:qFormat/>
    <w:rsid w:val="00001169"/>
    <w:pPr>
      <w:spacing w:after="180"/>
    </w:pPr>
  </w:style>
  <w:style w:type="paragraph" w:customStyle="1" w:styleId="Algorithm">
    <w:name w:val="Algorithm"/>
    <w:basedOn w:val="Paragraph-First"/>
    <w:qFormat/>
    <w:rsid w:val="00001169"/>
    <w:pPr>
      <w:pBdr>
        <w:top w:val="single" w:sz="4" w:space="1" w:color="auto"/>
        <w:bottom w:val="single" w:sz="4" w:space="1" w:color="auto"/>
      </w:pBdr>
      <w:tabs>
        <w:tab w:val="left" w:pos="170"/>
        <w:tab w:val="left" w:pos="1843"/>
      </w:tabs>
    </w:pPr>
  </w:style>
  <w:style w:type="paragraph" w:customStyle="1" w:styleId="Algorithm-ClosingPar">
    <w:name w:val="Algorithm - ClosingPar"/>
    <w:basedOn w:val="Paragraph-First"/>
    <w:qFormat/>
    <w:rsid w:val="00001169"/>
    <w:pPr>
      <w:framePr w:hSpace="142" w:vSpace="180" w:wrap="around" w:vAnchor="text" w:hAnchor="text" w:y="1"/>
      <w:pBdr>
        <w:bottom w:val="single" w:sz="4" w:space="1" w:color="auto"/>
      </w:pBdr>
      <w:suppressOverlap/>
    </w:pPr>
    <w:rPr>
      <w:sz w:val="6"/>
    </w:rPr>
  </w:style>
  <w:style w:type="character" w:customStyle="1" w:styleId="Algorithm-Head">
    <w:name w:val="Algorithm - Head"/>
    <w:basedOn w:val="DefaultParagraphFont"/>
    <w:uiPriority w:val="1"/>
    <w:qFormat/>
    <w:rsid w:val="00001169"/>
    <w:rPr>
      <w:b/>
    </w:rPr>
  </w:style>
  <w:style w:type="paragraph" w:customStyle="1" w:styleId="Heading2-NoNum">
    <w:name w:val="Heading 2 - NoNum"/>
    <w:basedOn w:val="Heading2"/>
    <w:qFormat/>
    <w:rsid w:val="00001169"/>
    <w:pPr>
      <w:numPr>
        <w:ilvl w:val="0"/>
        <w:numId w:val="0"/>
      </w:numPr>
    </w:pPr>
  </w:style>
  <w:style w:type="paragraph" w:customStyle="1" w:styleId="Heading3-NoNum">
    <w:name w:val="Heading 3 - NoNum"/>
    <w:basedOn w:val="Heading3"/>
    <w:qFormat/>
    <w:rsid w:val="00001169"/>
    <w:pPr>
      <w:numPr>
        <w:ilvl w:val="0"/>
        <w:numId w:val="0"/>
      </w:numPr>
    </w:pPr>
  </w:style>
  <w:style w:type="paragraph" w:customStyle="1" w:styleId="Bibliography-Manual">
    <w:name w:val="Bibliography - Manual"/>
    <w:basedOn w:val="Paragraph-First"/>
    <w:qFormat/>
    <w:rsid w:val="00001169"/>
    <w:pPr>
      <w:ind w:left="527" w:hanging="527"/>
    </w:pPr>
    <w:rPr>
      <w:noProof/>
    </w:rPr>
  </w:style>
  <w:style w:type="character" w:customStyle="1" w:styleId="EquationInline">
    <w:name w:val="EquationInline"/>
    <w:basedOn w:val="DefaultParagraphFont"/>
    <w:uiPriority w:val="1"/>
    <w:qFormat/>
    <w:rsid w:val="00001169"/>
    <w:rPr>
      <w:rFonts w:ascii="LMMath" w:hAnsi="LMMath"/>
      <w:i w:val="0"/>
    </w:rPr>
  </w:style>
  <w:style w:type="character" w:customStyle="1" w:styleId="ListofElements-chapterbreak">
    <w:name w:val="List of Elements - chapter break"/>
    <w:basedOn w:val="DefaultParagraphFont"/>
    <w:uiPriority w:val="1"/>
    <w:qFormat/>
    <w:rsid w:val="00001169"/>
    <w:rPr>
      <w:sz w:val="15"/>
      <w:szCs w:val="15"/>
    </w:rPr>
  </w:style>
  <w:style w:type="paragraph" w:customStyle="1" w:styleId="ListofTables">
    <w:name w:val="List of Tables"/>
    <w:basedOn w:val="TableofFigures"/>
    <w:qFormat/>
    <w:rsid w:val="00001169"/>
    <w:pPr>
      <w:tabs>
        <w:tab w:val="clear" w:pos="1134"/>
        <w:tab w:val="clear" w:pos="1701"/>
        <w:tab w:val="clear" w:pos="2268"/>
        <w:tab w:val="left" w:pos="1162"/>
      </w:tabs>
    </w:pPr>
  </w:style>
  <w:style w:type="paragraph" w:customStyle="1" w:styleId="ListofFigures">
    <w:name w:val="List of Figures"/>
    <w:basedOn w:val="TableofFigures"/>
    <w:qFormat/>
    <w:rsid w:val="00001169"/>
    <w:pPr>
      <w:tabs>
        <w:tab w:val="clear" w:pos="1134"/>
        <w:tab w:val="clear" w:pos="1701"/>
        <w:tab w:val="clear" w:pos="2268"/>
        <w:tab w:val="left" w:pos="1247"/>
      </w:tabs>
    </w:pPr>
  </w:style>
  <w:style w:type="paragraph" w:customStyle="1" w:styleId="ListofAlgorithms">
    <w:name w:val="List of Algorithms"/>
    <w:basedOn w:val="TableofFigures"/>
    <w:link w:val="ListofAlgorithmsChar"/>
    <w:qFormat/>
    <w:rsid w:val="00001169"/>
    <w:pPr>
      <w:tabs>
        <w:tab w:val="clear" w:pos="1134"/>
        <w:tab w:val="clear" w:pos="1701"/>
        <w:tab w:val="clear" w:pos="2268"/>
        <w:tab w:val="left" w:pos="1616"/>
      </w:tabs>
    </w:pPr>
  </w:style>
  <w:style w:type="paragraph" w:customStyle="1" w:styleId="Table-SmallerText">
    <w:name w:val="Table - Smaller Text"/>
    <w:basedOn w:val="Table"/>
    <w:qFormat/>
    <w:rsid w:val="00001169"/>
    <w:pPr>
      <w:jc w:val="left"/>
    </w:pPr>
    <w:rPr>
      <w:sz w:val="20"/>
    </w:rPr>
  </w:style>
  <w:style w:type="character" w:customStyle="1" w:styleId="Code-Footnote">
    <w:name w:val="Code - Footnote"/>
    <w:basedOn w:val="Code"/>
    <w:uiPriority w:val="1"/>
    <w:qFormat/>
    <w:rsid w:val="00001169"/>
    <w:rPr>
      <w:rFonts w:ascii="LMMono12" w:hAnsi="LMMono12"/>
      <w:sz w:val="18"/>
    </w:rPr>
  </w:style>
  <w:style w:type="character" w:customStyle="1" w:styleId="Code-Strong">
    <w:name w:val="Code - Strong"/>
    <w:basedOn w:val="Code"/>
    <w:uiPriority w:val="1"/>
    <w:qFormat/>
    <w:rsid w:val="00001169"/>
    <w:rPr>
      <w:rFonts w:ascii="LMMono12" w:hAnsi="LMMono12"/>
      <w:b/>
      <w:sz w:val="22"/>
    </w:rPr>
  </w:style>
  <w:style w:type="character" w:styleId="Strong">
    <w:name w:val="Strong"/>
    <w:basedOn w:val="DefaultParagraphFont"/>
    <w:uiPriority w:val="22"/>
    <w:qFormat/>
    <w:rsid w:val="00001169"/>
    <w:rPr>
      <w:b/>
      <w:bCs/>
    </w:rPr>
  </w:style>
  <w:style w:type="character" w:styleId="SubtleEmphasis">
    <w:name w:val="Subtle Emphasis"/>
    <w:basedOn w:val="DefaultParagraphFont"/>
    <w:uiPriority w:val="19"/>
    <w:qFormat/>
    <w:rsid w:val="00001169"/>
    <w:rPr>
      <w:i/>
      <w:iCs/>
      <w:color w:val="404040" w:themeColor="text1" w:themeTint="BF"/>
    </w:rPr>
  </w:style>
  <w:style w:type="paragraph" w:customStyle="1" w:styleId="Algorithm-spacingbreak">
    <w:name w:val="Algorithm - spacing break"/>
    <w:basedOn w:val="Paragraph-Next"/>
    <w:qFormat/>
    <w:rsid w:val="00001169"/>
    <w:rPr>
      <w:sz w:val="6"/>
      <w:szCs w:val="4"/>
    </w:rPr>
  </w:style>
  <w:style w:type="paragraph" w:customStyle="1" w:styleId="Algorithm-FirstLevelCode">
    <w:name w:val="Algorithm - First Level Code"/>
    <w:basedOn w:val="Paragraph-First"/>
    <w:qFormat/>
    <w:rsid w:val="00001169"/>
    <w:pPr>
      <w:ind w:left="340"/>
    </w:pPr>
  </w:style>
  <w:style w:type="character" w:customStyle="1" w:styleId="Code-Slanted">
    <w:name w:val="Code - Slanted"/>
    <w:basedOn w:val="Code"/>
    <w:uiPriority w:val="1"/>
    <w:qFormat/>
    <w:rsid w:val="00001169"/>
    <w:rPr>
      <w:rFonts w:ascii="LMMono12" w:hAnsi="LMMono12"/>
      <w:i/>
      <w:sz w:val="22"/>
    </w:rPr>
  </w:style>
  <w:style w:type="paragraph" w:customStyle="1" w:styleId="PageBrake-Smallspaceoptimization">
    <w:name w:val="Page Brake - Small space optimization"/>
    <w:basedOn w:val="Paragraph-First"/>
    <w:qFormat/>
    <w:rsid w:val="00001169"/>
    <w:rPr>
      <w:sz w:val="8"/>
    </w:rPr>
  </w:style>
  <w:style w:type="paragraph" w:customStyle="1" w:styleId="Heading1-NoNum">
    <w:name w:val="Heading 1 - NoNum"/>
    <w:basedOn w:val="Normal"/>
    <w:next w:val="Paragraph-First"/>
    <w:link w:val="Heading1-NoNumChar"/>
    <w:qFormat/>
    <w:rsid w:val="00001169"/>
    <w:pPr>
      <w:keepNext/>
      <w:keepLines/>
      <w:spacing w:before="1260" w:after="720" w:line="240" w:lineRule="auto"/>
      <w:outlineLvl w:val="0"/>
    </w:pPr>
    <w:rPr>
      <w:rFonts w:ascii="LMRoman12" w:hAnsi="LMRoman12"/>
      <w:b/>
      <w:spacing w:val="-16"/>
      <w:sz w:val="48"/>
      <w:lang w:val="en-US"/>
      <w14:ligatures w14:val="standardContextual"/>
    </w:rPr>
  </w:style>
  <w:style w:type="character" w:customStyle="1" w:styleId="Heading1-NoNumChar">
    <w:name w:val="Heading 1 - NoNum Char"/>
    <w:basedOn w:val="DefaultParagraphFont"/>
    <w:link w:val="Heading1-NoNum"/>
    <w:rsid w:val="00001169"/>
    <w:rPr>
      <w:rFonts w:ascii="LMRoman12" w:hAnsi="LMRoman12"/>
      <w:b/>
      <w:spacing w:val="-16"/>
      <w:sz w:val="48"/>
      <w:lang w:val="en-US"/>
      <w14:ligatures w14:val="standardContextual"/>
    </w:rPr>
  </w:style>
  <w:style w:type="character" w:customStyle="1" w:styleId="TableofFiguresChar">
    <w:name w:val="Table of Figures Char"/>
    <w:basedOn w:val="DefaultParagraphFont"/>
    <w:link w:val="TableofFigures"/>
    <w:uiPriority w:val="99"/>
    <w:rsid w:val="00001169"/>
    <w:rPr>
      <w:rFonts w:ascii="LMRoman12" w:hAnsi="LMRoman12"/>
      <w:noProof/>
      <w:lang w:val="en-US"/>
      <w14:ligatures w14:val="standardContextual"/>
    </w:rPr>
  </w:style>
  <w:style w:type="paragraph" w:styleId="BlockText">
    <w:name w:val="Block Text"/>
    <w:basedOn w:val="Normal"/>
    <w:uiPriority w:val="99"/>
    <w:semiHidden/>
    <w:unhideWhenUsed/>
    <w:rsid w:val="00001169"/>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0" w:line="240" w:lineRule="auto"/>
      <w:ind w:left="1152" w:right="1152"/>
      <w:jc w:val="both"/>
    </w:pPr>
    <w:rPr>
      <w:rFonts w:eastAsiaTheme="minorEastAsia"/>
      <w:i/>
      <w:iCs/>
      <w:color w:val="4F81BD" w:themeColor="accent1"/>
      <w:lang w:val="en-US"/>
      <w14:ligatures w14:val="standardContextual"/>
    </w:rPr>
  </w:style>
  <w:style w:type="paragraph" w:styleId="BodyText">
    <w:name w:val="Body Text"/>
    <w:basedOn w:val="Normal"/>
    <w:link w:val="BodyTextChar"/>
    <w:uiPriority w:val="99"/>
    <w:semiHidden/>
    <w:unhideWhenUsed/>
    <w:rsid w:val="00001169"/>
    <w:pPr>
      <w:spacing w:after="120" w:line="240" w:lineRule="auto"/>
      <w:jc w:val="both"/>
    </w:pPr>
    <w:rPr>
      <w:rFonts w:ascii="LMRoman12" w:hAnsi="LMRoman12"/>
      <w:lang w:val="en-US"/>
      <w14:ligatures w14:val="standardContextual"/>
    </w:rPr>
  </w:style>
  <w:style w:type="character" w:customStyle="1" w:styleId="BodyTextChar">
    <w:name w:val="Body Text Char"/>
    <w:basedOn w:val="DefaultParagraphFont"/>
    <w:link w:val="BodyText"/>
    <w:uiPriority w:val="99"/>
    <w:semiHidden/>
    <w:rsid w:val="00001169"/>
    <w:rPr>
      <w:rFonts w:ascii="LMRoman12" w:hAnsi="LMRoman12"/>
      <w:lang w:val="en-US"/>
      <w14:ligatures w14:val="standardContextual"/>
    </w:rPr>
  </w:style>
  <w:style w:type="paragraph" w:styleId="BodyText2">
    <w:name w:val="Body Text 2"/>
    <w:basedOn w:val="Normal"/>
    <w:link w:val="BodyText2Char"/>
    <w:uiPriority w:val="99"/>
    <w:semiHidden/>
    <w:unhideWhenUsed/>
    <w:rsid w:val="00001169"/>
    <w:pPr>
      <w:spacing w:after="120" w:line="480" w:lineRule="auto"/>
      <w:jc w:val="both"/>
    </w:pPr>
    <w:rPr>
      <w:rFonts w:ascii="LMRoman12" w:hAnsi="LMRoman12"/>
      <w:lang w:val="en-US"/>
      <w14:ligatures w14:val="standardContextual"/>
    </w:rPr>
  </w:style>
  <w:style w:type="character" w:customStyle="1" w:styleId="BodyText2Char">
    <w:name w:val="Body Text 2 Char"/>
    <w:basedOn w:val="DefaultParagraphFont"/>
    <w:link w:val="BodyText2"/>
    <w:uiPriority w:val="99"/>
    <w:semiHidden/>
    <w:rsid w:val="00001169"/>
    <w:rPr>
      <w:rFonts w:ascii="LMRoman12" w:hAnsi="LMRoman12"/>
      <w:lang w:val="en-US"/>
      <w14:ligatures w14:val="standardContextual"/>
    </w:rPr>
  </w:style>
  <w:style w:type="paragraph" w:styleId="BodyText3">
    <w:name w:val="Body Text 3"/>
    <w:basedOn w:val="Normal"/>
    <w:link w:val="BodyText3Char"/>
    <w:uiPriority w:val="99"/>
    <w:semiHidden/>
    <w:unhideWhenUsed/>
    <w:rsid w:val="00001169"/>
    <w:pPr>
      <w:spacing w:after="120" w:line="240" w:lineRule="auto"/>
      <w:jc w:val="both"/>
    </w:pPr>
    <w:rPr>
      <w:rFonts w:ascii="LMRoman12" w:hAnsi="LMRoman12"/>
      <w:sz w:val="16"/>
      <w:szCs w:val="16"/>
      <w:lang w:val="en-US"/>
      <w14:ligatures w14:val="standardContextual"/>
    </w:rPr>
  </w:style>
  <w:style w:type="character" w:customStyle="1" w:styleId="BodyText3Char">
    <w:name w:val="Body Text 3 Char"/>
    <w:basedOn w:val="DefaultParagraphFont"/>
    <w:link w:val="BodyText3"/>
    <w:uiPriority w:val="99"/>
    <w:semiHidden/>
    <w:rsid w:val="00001169"/>
    <w:rPr>
      <w:rFonts w:ascii="LMRoman12" w:hAnsi="LMRoman12"/>
      <w:sz w:val="16"/>
      <w:szCs w:val="16"/>
      <w:lang w:val="en-US"/>
      <w14:ligatures w14:val="standardContextual"/>
    </w:rPr>
  </w:style>
  <w:style w:type="paragraph" w:styleId="BodyTextFirstIndent">
    <w:name w:val="Body Text First Indent"/>
    <w:basedOn w:val="BodyText"/>
    <w:link w:val="BodyTextFirstIndentChar"/>
    <w:uiPriority w:val="99"/>
    <w:semiHidden/>
    <w:unhideWhenUsed/>
    <w:rsid w:val="00001169"/>
    <w:pPr>
      <w:spacing w:after="0"/>
      <w:ind w:firstLine="360"/>
    </w:pPr>
  </w:style>
  <w:style w:type="character" w:customStyle="1" w:styleId="BodyTextFirstIndentChar">
    <w:name w:val="Body Text First Indent Char"/>
    <w:basedOn w:val="BodyTextChar"/>
    <w:link w:val="BodyTextFirstIndent"/>
    <w:uiPriority w:val="99"/>
    <w:semiHidden/>
    <w:rsid w:val="00001169"/>
    <w:rPr>
      <w:rFonts w:ascii="LMRoman12" w:hAnsi="LMRoman12"/>
      <w:lang w:val="en-US"/>
      <w14:ligatures w14:val="standardContextual"/>
    </w:rPr>
  </w:style>
  <w:style w:type="paragraph" w:styleId="BodyTextIndent">
    <w:name w:val="Body Text Indent"/>
    <w:basedOn w:val="Normal"/>
    <w:link w:val="BodyTextIndentChar"/>
    <w:uiPriority w:val="99"/>
    <w:semiHidden/>
    <w:unhideWhenUsed/>
    <w:rsid w:val="00001169"/>
    <w:pPr>
      <w:spacing w:after="120" w:line="240" w:lineRule="auto"/>
      <w:ind w:left="283"/>
      <w:jc w:val="both"/>
    </w:pPr>
    <w:rPr>
      <w:rFonts w:ascii="LMRoman12" w:hAnsi="LMRoman12"/>
      <w:lang w:val="en-US"/>
      <w14:ligatures w14:val="standardContextual"/>
    </w:rPr>
  </w:style>
  <w:style w:type="character" w:customStyle="1" w:styleId="BodyTextIndentChar">
    <w:name w:val="Body Text Indent Char"/>
    <w:basedOn w:val="DefaultParagraphFont"/>
    <w:link w:val="BodyTextIndent"/>
    <w:uiPriority w:val="99"/>
    <w:semiHidden/>
    <w:rsid w:val="00001169"/>
    <w:rPr>
      <w:rFonts w:ascii="LMRoman12" w:hAnsi="LMRoman12"/>
      <w:lang w:val="en-US"/>
      <w14:ligatures w14:val="standardContextual"/>
    </w:rPr>
  </w:style>
  <w:style w:type="paragraph" w:styleId="BodyTextFirstIndent2">
    <w:name w:val="Body Text First Indent 2"/>
    <w:basedOn w:val="BodyTextIndent"/>
    <w:link w:val="BodyTextFirstIndent2Char"/>
    <w:uiPriority w:val="99"/>
    <w:semiHidden/>
    <w:unhideWhenUsed/>
    <w:rsid w:val="00001169"/>
    <w:pPr>
      <w:spacing w:after="0"/>
      <w:ind w:left="360" w:firstLine="360"/>
    </w:pPr>
  </w:style>
  <w:style w:type="character" w:customStyle="1" w:styleId="BodyTextFirstIndent2Char">
    <w:name w:val="Body Text First Indent 2 Char"/>
    <w:basedOn w:val="BodyTextIndentChar"/>
    <w:link w:val="BodyTextFirstIndent2"/>
    <w:uiPriority w:val="99"/>
    <w:semiHidden/>
    <w:rsid w:val="00001169"/>
    <w:rPr>
      <w:rFonts w:ascii="LMRoman12" w:hAnsi="LMRoman12"/>
      <w:lang w:val="en-US"/>
      <w14:ligatures w14:val="standardContextual"/>
    </w:rPr>
  </w:style>
  <w:style w:type="paragraph" w:styleId="BodyTextIndent2">
    <w:name w:val="Body Text Indent 2"/>
    <w:basedOn w:val="Normal"/>
    <w:link w:val="BodyTextIndent2Char"/>
    <w:uiPriority w:val="99"/>
    <w:semiHidden/>
    <w:unhideWhenUsed/>
    <w:rsid w:val="00001169"/>
    <w:pPr>
      <w:spacing w:after="120" w:line="480" w:lineRule="auto"/>
      <w:ind w:left="283"/>
      <w:jc w:val="both"/>
    </w:pPr>
    <w:rPr>
      <w:rFonts w:ascii="LMRoman12" w:hAnsi="LMRoman12"/>
      <w:lang w:val="en-US"/>
      <w14:ligatures w14:val="standardContextual"/>
    </w:rPr>
  </w:style>
  <w:style w:type="character" w:customStyle="1" w:styleId="BodyTextIndent2Char">
    <w:name w:val="Body Text Indent 2 Char"/>
    <w:basedOn w:val="DefaultParagraphFont"/>
    <w:link w:val="BodyTextIndent2"/>
    <w:uiPriority w:val="99"/>
    <w:semiHidden/>
    <w:rsid w:val="00001169"/>
    <w:rPr>
      <w:rFonts w:ascii="LMRoman12" w:hAnsi="LMRoman12"/>
      <w:lang w:val="en-US"/>
      <w14:ligatures w14:val="standardContextual"/>
    </w:rPr>
  </w:style>
  <w:style w:type="paragraph" w:styleId="BodyTextIndent3">
    <w:name w:val="Body Text Indent 3"/>
    <w:basedOn w:val="Normal"/>
    <w:link w:val="BodyTextIndent3Char"/>
    <w:uiPriority w:val="99"/>
    <w:semiHidden/>
    <w:unhideWhenUsed/>
    <w:rsid w:val="00001169"/>
    <w:pPr>
      <w:spacing w:after="120" w:line="240" w:lineRule="auto"/>
      <w:ind w:left="283"/>
      <w:jc w:val="both"/>
    </w:pPr>
    <w:rPr>
      <w:rFonts w:ascii="LMRoman12" w:hAnsi="LMRoman12"/>
      <w:sz w:val="16"/>
      <w:szCs w:val="16"/>
      <w:lang w:val="en-US"/>
      <w14:ligatures w14:val="standardContextual"/>
    </w:rPr>
  </w:style>
  <w:style w:type="character" w:customStyle="1" w:styleId="BodyTextIndent3Char">
    <w:name w:val="Body Text Indent 3 Char"/>
    <w:basedOn w:val="DefaultParagraphFont"/>
    <w:link w:val="BodyTextIndent3"/>
    <w:uiPriority w:val="99"/>
    <w:semiHidden/>
    <w:rsid w:val="00001169"/>
    <w:rPr>
      <w:rFonts w:ascii="LMRoman12" w:hAnsi="LMRoman12"/>
      <w:sz w:val="16"/>
      <w:szCs w:val="16"/>
      <w:lang w:val="en-US"/>
      <w14:ligatures w14:val="standardContextual"/>
    </w:rPr>
  </w:style>
  <w:style w:type="paragraph" w:styleId="Closing">
    <w:name w:val="Closing"/>
    <w:basedOn w:val="Normal"/>
    <w:link w:val="ClosingChar"/>
    <w:uiPriority w:val="99"/>
    <w:semiHidden/>
    <w:unhideWhenUsed/>
    <w:rsid w:val="00001169"/>
    <w:pPr>
      <w:spacing w:after="0" w:line="240" w:lineRule="auto"/>
      <w:ind w:left="4252"/>
      <w:jc w:val="both"/>
    </w:pPr>
    <w:rPr>
      <w:rFonts w:ascii="LMRoman12" w:hAnsi="LMRoman12"/>
      <w:lang w:val="en-US"/>
      <w14:ligatures w14:val="standardContextual"/>
    </w:rPr>
  </w:style>
  <w:style w:type="character" w:customStyle="1" w:styleId="ClosingChar">
    <w:name w:val="Closing Char"/>
    <w:basedOn w:val="DefaultParagraphFont"/>
    <w:link w:val="Closing"/>
    <w:uiPriority w:val="99"/>
    <w:semiHidden/>
    <w:rsid w:val="00001169"/>
    <w:rPr>
      <w:rFonts w:ascii="LMRoman12" w:hAnsi="LMRoman12"/>
      <w:lang w:val="en-US"/>
      <w14:ligatures w14:val="standardContextual"/>
    </w:rPr>
  </w:style>
  <w:style w:type="paragraph" w:styleId="Date">
    <w:name w:val="Date"/>
    <w:basedOn w:val="Normal"/>
    <w:next w:val="Normal"/>
    <w:link w:val="Date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DateChar">
    <w:name w:val="Date Char"/>
    <w:basedOn w:val="DefaultParagraphFont"/>
    <w:link w:val="Date"/>
    <w:uiPriority w:val="99"/>
    <w:semiHidden/>
    <w:rsid w:val="00001169"/>
    <w:rPr>
      <w:rFonts w:ascii="LMRoman12" w:hAnsi="LMRoman12"/>
      <w:lang w:val="en-US"/>
      <w14:ligatures w14:val="standardContextual"/>
    </w:rPr>
  </w:style>
  <w:style w:type="paragraph" w:styleId="DocumentMap">
    <w:name w:val="Document Map"/>
    <w:basedOn w:val="Normal"/>
    <w:link w:val="DocumentMapChar"/>
    <w:uiPriority w:val="99"/>
    <w:semiHidden/>
    <w:unhideWhenUsed/>
    <w:rsid w:val="00001169"/>
    <w:pPr>
      <w:spacing w:after="0" w:line="240" w:lineRule="auto"/>
      <w:jc w:val="both"/>
    </w:pPr>
    <w:rPr>
      <w:rFonts w:ascii="Segoe UI" w:hAnsi="Segoe UI" w:cs="Segoe UI"/>
      <w:sz w:val="16"/>
      <w:szCs w:val="16"/>
      <w:lang w:val="en-US"/>
      <w14:ligatures w14:val="standardContextual"/>
    </w:rPr>
  </w:style>
  <w:style w:type="character" w:customStyle="1" w:styleId="DocumentMapChar">
    <w:name w:val="Document Map Char"/>
    <w:basedOn w:val="DefaultParagraphFont"/>
    <w:link w:val="DocumentMap"/>
    <w:uiPriority w:val="99"/>
    <w:semiHidden/>
    <w:rsid w:val="00001169"/>
    <w:rPr>
      <w:rFonts w:ascii="Segoe UI" w:hAnsi="Segoe UI" w:cs="Segoe UI"/>
      <w:sz w:val="16"/>
      <w:szCs w:val="16"/>
      <w:lang w:val="en-US"/>
      <w14:ligatures w14:val="standardContextual"/>
    </w:rPr>
  </w:style>
  <w:style w:type="paragraph" w:styleId="E-mailSignature">
    <w:name w:val="E-mail Signature"/>
    <w:basedOn w:val="Normal"/>
    <w:link w:val="E-mailSignature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E-mailSignatureChar">
    <w:name w:val="E-mail Signature Char"/>
    <w:basedOn w:val="DefaultParagraphFont"/>
    <w:link w:val="E-mailSignature"/>
    <w:uiPriority w:val="99"/>
    <w:semiHidden/>
    <w:rsid w:val="00001169"/>
    <w:rPr>
      <w:rFonts w:ascii="LMRoman12" w:hAnsi="LMRoman12"/>
      <w:lang w:val="en-US"/>
      <w14:ligatures w14:val="standardContextual"/>
    </w:rPr>
  </w:style>
  <w:style w:type="paragraph" w:styleId="EnvelopeAddress">
    <w:name w:val="envelope address"/>
    <w:basedOn w:val="Normal"/>
    <w:uiPriority w:val="99"/>
    <w:semiHidden/>
    <w:unhideWhenUsed/>
    <w:rsid w:val="00001169"/>
    <w:pPr>
      <w:framePr w:w="7920" w:h="1980" w:hRule="exact" w:hSpace="141" w:wrap="auto" w:hAnchor="page" w:xAlign="center" w:yAlign="bottom"/>
      <w:spacing w:after="0" w:line="240" w:lineRule="auto"/>
      <w:ind w:left="2880"/>
      <w:jc w:val="both"/>
    </w:pPr>
    <w:rPr>
      <w:rFonts w:asciiTheme="majorHAnsi" w:eastAsiaTheme="majorEastAsia" w:hAnsiTheme="majorHAnsi" w:cstheme="majorBidi"/>
      <w:sz w:val="24"/>
      <w:szCs w:val="24"/>
      <w:lang w:val="en-US"/>
      <w14:ligatures w14:val="standardContextual"/>
    </w:rPr>
  </w:style>
  <w:style w:type="paragraph" w:styleId="EnvelopeReturn">
    <w:name w:val="envelope return"/>
    <w:basedOn w:val="Normal"/>
    <w:uiPriority w:val="99"/>
    <w:semiHidden/>
    <w:unhideWhenUsed/>
    <w:rsid w:val="00001169"/>
    <w:pPr>
      <w:spacing w:after="0" w:line="240" w:lineRule="auto"/>
      <w:jc w:val="both"/>
    </w:pPr>
    <w:rPr>
      <w:rFonts w:asciiTheme="majorHAnsi" w:eastAsiaTheme="majorEastAsia" w:hAnsiTheme="majorHAnsi" w:cstheme="majorBidi"/>
      <w:sz w:val="20"/>
      <w:szCs w:val="20"/>
      <w:lang w:val="en-US"/>
      <w14:ligatures w14:val="standardContextual"/>
    </w:rPr>
  </w:style>
  <w:style w:type="paragraph" w:styleId="HTMLAddress">
    <w:name w:val="HTML Address"/>
    <w:basedOn w:val="Normal"/>
    <w:link w:val="HTMLAddressChar"/>
    <w:uiPriority w:val="99"/>
    <w:semiHidden/>
    <w:unhideWhenUsed/>
    <w:rsid w:val="00001169"/>
    <w:pPr>
      <w:spacing w:after="0" w:line="240" w:lineRule="auto"/>
      <w:jc w:val="both"/>
    </w:pPr>
    <w:rPr>
      <w:rFonts w:ascii="LMRoman12" w:hAnsi="LMRoman12"/>
      <w:i/>
      <w:iCs/>
      <w:lang w:val="en-US"/>
      <w14:ligatures w14:val="standardContextual"/>
    </w:rPr>
  </w:style>
  <w:style w:type="character" w:customStyle="1" w:styleId="HTMLAddressChar">
    <w:name w:val="HTML Address Char"/>
    <w:basedOn w:val="DefaultParagraphFont"/>
    <w:link w:val="HTMLAddress"/>
    <w:uiPriority w:val="99"/>
    <w:semiHidden/>
    <w:rsid w:val="00001169"/>
    <w:rPr>
      <w:rFonts w:ascii="LMRoman12" w:hAnsi="LMRoman12"/>
      <w:i/>
      <w:iCs/>
      <w:lang w:val="en-US"/>
      <w14:ligatures w14:val="standardContextual"/>
    </w:rPr>
  </w:style>
  <w:style w:type="paragraph" w:styleId="HTMLPreformatted">
    <w:name w:val="HTML Preformatted"/>
    <w:basedOn w:val="Normal"/>
    <w:link w:val="HTMLPreformattedChar"/>
    <w:uiPriority w:val="99"/>
    <w:semiHidden/>
    <w:unhideWhenUsed/>
    <w:rsid w:val="00001169"/>
    <w:pPr>
      <w:spacing w:after="0" w:line="240" w:lineRule="auto"/>
      <w:jc w:val="both"/>
    </w:pPr>
    <w:rPr>
      <w:rFonts w:ascii="Consolas" w:hAnsi="Consolas" w:cs="Consolas"/>
      <w:sz w:val="20"/>
      <w:szCs w:val="20"/>
      <w:lang w:val="en-US"/>
      <w14:ligatures w14:val="standardContextual"/>
    </w:rPr>
  </w:style>
  <w:style w:type="character" w:customStyle="1" w:styleId="HTMLPreformattedChar">
    <w:name w:val="HTML Preformatted Char"/>
    <w:basedOn w:val="DefaultParagraphFont"/>
    <w:link w:val="HTMLPreformatted"/>
    <w:uiPriority w:val="99"/>
    <w:semiHidden/>
    <w:rsid w:val="00001169"/>
    <w:rPr>
      <w:rFonts w:ascii="Consolas" w:hAnsi="Consolas" w:cs="Consolas"/>
      <w:sz w:val="20"/>
      <w:szCs w:val="20"/>
      <w:lang w:val="en-US"/>
      <w14:ligatures w14:val="standardContextual"/>
    </w:rPr>
  </w:style>
  <w:style w:type="paragraph" w:styleId="Index3">
    <w:name w:val="index 3"/>
    <w:basedOn w:val="Normal"/>
    <w:next w:val="Normal"/>
    <w:autoRedefine/>
    <w:uiPriority w:val="99"/>
    <w:semiHidden/>
    <w:unhideWhenUsed/>
    <w:rsid w:val="00001169"/>
    <w:pPr>
      <w:spacing w:after="0" w:line="240" w:lineRule="auto"/>
      <w:ind w:left="660" w:hanging="220"/>
      <w:jc w:val="both"/>
    </w:pPr>
    <w:rPr>
      <w:rFonts w:ascii="LMRoman12" w:hAnsi="LMRoman12"/>
      <w:lang w:val="en-US"/>
      <w14:ligatures w14:val="standardContextual"/>
    </w:rPr>
  </w:style>
  <w:style w:type="paragraph" w:styleId="Index4">
    <w:name w:val="index 4"/>
    <w:basedOn w:val="Normal"/>
    <w:next w:val="Normal"/>
    <w:autoRedefine/>
    <w:uiPriority w:val="99"/>
    <w:semiHidden/>
    <w:unhideWhenUsed/>
    <w:rsid w:val="00001169"/>
    <w:pPr>
      <w:spacing w:after="0" w:line="240" w:lineRule="auto"/>
      <w:ind w:left="880" w:hanging="220"/>
      <w:jc w:val="both"/>
    </w:pPr>
    <w:rPr>
      <w:rFonts w:ascii="LMRoman12" w:hAnsi="LMRoman12"/>
      <w:lang w:val="en-US"/>
      <w14:ligatures w14:val="standardContextual"/>
    </w:rPr>
  </w:style>
  <w:style w:type="paragraph" w:styleId="Index5">
    <w:name w:val="index 5"/>
    <w:basedOn w:val="Normal"/>
    <w:next w:val="Normal"/>
    <w:autoRedefine/>
    <w:uiPriority w:val="99"/>
    <w:semiHidden/>
    <w:unhideWhenUsed/>
    <w:rsid w:val="00001169"/>
    <w:pPr>
      <w:spacing w:after="0" w:line="240" w:lineRule="auto"/>
      <w:ind w:left="1100" w:hanging="220"/>
      <w:jc w:val="both"/>
    </w:pPr>
    <w:rPr>
      <w:rFonts w:ascii="LMRoman12" w:hAnsi="LMRoman12"/>
      <w:lang w:val="en-US"/>
      <w14:ligatures w14:val="standardContextual"/>
    </w:rPr>
  </w:style>
  <w:style w:type="paragraph" w:styleId="Index6">
    <w:name w:val="index 6"/>
    <w:basedOn w:val="Normal"/>
    <w:next w:val="Normal"/>
    <w:autoRedefine/>
    <w:uiPriority w:val="99"/>
    <w:semiHidden/>
    <w:unhideWhenUsed/>
    <w:rsid w:val="00001169"/>
    <w:pPr>
      <w:spacing w:after="0" w:line="240" w:lineRule="auto"/>
      <w:ind w:left="1320" w:hanging="220"/>
      <w:jc w:val="both"/>
    </w:pPr>
    <w:rPr>
      <w:rFonts w:ascii="LMRoman12" w:hAnsi="LMRoman12"/>
      <w:lang w:val="en-US"/>
      <w14:ligatures w14:val="standardContextual"/>
    </w:rPr>
  </w:style>
  <w:style w:type="paragraph" w:styleId="Index7">
    <w:name w:val="index 7"/>
    <w:basedOn w:val="Normal"/>
    <w:next w:val="Normal"/>
    <w:autoRedefine/>
    <w:uiPriority w:val="99"/>
    <w:semiHidden/>
    <w:unhideWhenUsed/>
    <w:rsid w:val="00001169"/>
    <w:pPr>
      <w:spacing w:after="0" w:line="240" w:lineRule="auto"/>
      <w:ind w:left="1540" w:hanging="220"/>
      <w:jc w:val="both"/>
    </w:pPr>
    <w:rPr>
      <w:rFonts w:ascii="LMRoman12" w:hAnsi="LMRoman12"/>
      <w:lang w:val="en-US"/>
      <w14:ligatures w14:val="standardContextual"/>
    </w:rPr>
  </w:style>
  <w:style w:type="paragraph" w:styleId="Index8">
    <w:name w:val="index 8"/>
    <w:basedOn w:val="Normal"/>
    <w:next w:val="Normal"/>
    <w:autoRedefine/>
    <w:uiPriority w:val="99"/>
    <w:semiHidden/>
    <w:unhideWhenUsed/>
    <w:rsid w:val="00001169"/>
    <w:pPr>
      <w:spacing w:after="0" w:line="240" w:lineRule="auto"/>
      <w:ind w:left="1760" w:hanging="220"/>
      <w:jc w:val="both"/>
    </w:pPr>
    <w:rPr>
      <w:rFonts w:ascii="LMRoman12" w:hAnsi="LMRoman12"/>
      <w:lang w:val="en-US"/>
      <w14:ligatures w14:val="standardContextual"/>
    </w:rPr>
  </w:style>
  <w:style w:type="paragraph" w:styleId="Index9">
    <w:name w:val="index 9"/>
    <w:basedOn w:val="Normal"/>
    <w:next w:val="Normal"/>
    <w:autoRedefine/>
    <w:uiPriority w:val="99"/>
    <w:semiHidden/>
    <w:unhideWhenUsed/>
    <w:rsid w:val="00001169"/>
    <w:pPr>
      <w:spacing w:after="0" w:line="240" w:lineRule="auto"/>
      <w:ind w:left="1980" w:hanging="220"/>
      <w:jc w:val="both"/>
    </w:pPr>
    <w:rPr>
      <w:rFonts w:ascii="LMRoman12" w:hAnsi="LMRoman12"/>
      <w:lang w:val="en-US"/>
      <w14:ligatures w14:val="standardContextual"/>
    </w:rPr>
  </w:style>
  <w:style w:type="paragraph" w:styleId="IndexHeading">
    <w:name w:val="index heading"/>
    <w:basedOn w:val="Normal"/>
    <w:next w:val="Index1"/>
    <w:uiPriority w:val="99"/>
    <w:semiHidden/>
    <w:unhideWhenUsed/>
    <w:rsid w:val="00001169"/>
    <w:pPr>
      <w:spacing w:after="0" w:line="240" w:lineRule="auto"/>
      <w:jc w:val="both"/>
    </w:pPr>
    <w:rPr>
      <w:rFonts w:asciiTheme="majorHAnsi" w:eastAsiaTheme="majorEastAsia" w:hAnsiTheme="majorHAnsi" w:cstheme="majorBidi"/>
      <w:b/>
      <w:bCs/>
      <w:lang w:val="en-US"/>
      <w14:ligatures w14:val="standardContextual"/>
    </w:rPr>
  </w:style>
  <w:style w:type="paragraph" w:styleId="List">
    <w:name w:val="List"/>
    <w:basedOn w:val="Normal"/>
    <w:uiPriority w:val="99"/>
    <w:semiHidden/>
    <w:unhideWhenUsed/>
    <w:rsid w:val="00001169"/>
    <w:pPr>
      <w:spacing w:after="0" w:line="240" w:lineRule="auto"/>
      <w:ind w:left="283" w:hanging="283"/>
      <w:contextualSpacing/>
      <w:jc w:val="both"/>
    </w:pPr>
    <w:rPr>
      <w:rFonts w:ascii="LMRoman12" w:hAnsi="LMRoman12"/>
      <w:lang w:val="en-US"/>
      <w14:ligatures w14:val="standardContextual"/>
    </w:rPr>
  </w:style>
  <w:style w:type="paragraph" w:styleId="List2">
    <w:name w:val="List 2"/>
    <w:basedOn w:val="Normal"/>
    <w:uiPriority w:val="99"/>
    <w:semiHidden/>
    <w:unhideWhenUsed/>
    <w:rsid w:val="00001169"/>
    <w:pPr>
      <w:spacing w:after="0" w:line="240" w:lineRule="auto"/>
      <w:ind w:left="566" w:hanging="283"/>
      <w:contextualSpacing/>
      <w:jc w:val="both"/>
    </w:pPr>
    <w:rPr>
      <w:rFonts w:ascii="LMRoman12" w:hAnsi="LMRoman12"/>
      <w:lang w:val="en-US"/>
      <w14:ligatures w14:val="standardContextual"/>
    </w:rPr>
  </w:style>
  <w:style w:type="paragraph" w:styleId="List3">
    <w:name w:val="List 3"/>
    <w:basedOn w:val="Normal"/>
    <w:uiPriority w:val="99"/>
    <w:semiHidden/>
    <w:unhideWhenUsed/>
    <w:rsid w:val="00001169"/>
    <w:pPr>
      <w:spacing w:after="0" w:line="240" w:lineRule="auto"/>
      <w:ind w:left="849" w:hanging="283"/>
      <w:contextualSpacing/>
      <w:jc w:val="both"/>
    </w:pPr>
    <w:rPr>
      <w:rFonts w:ascii="LMRoman12" w:hAnsi="LMRoman12"/>
      <w:lang w:val="en-US"/>
      <w14:ligatures w14:val="standardContextual"/>
    </w:rPr>
  </w:style>
  <w:style w:type="paragraph" w:styleId="List4">
    <w:name w:val="List 4"/>
    <w:basedOn w:val="Normal"/>
    <w:uiPriority w:val="99"/>
    <w:semiHidden/>
    <w:unhideWhenUsed/>
    <w:rsid w:val="00001169"/>
    <w:pPr>
      <w:spacing w:after="0" w:line="240" w:lineRule="auto"/>
      <w:ind w:left="1132" w:hanging="283"/>
      <w:contextualSpacing/>
      <w:jc w:val="both"/>
    </w:pPr>
    <w:rPr>
      <w:rFonts w:ascii="LMRoman12" w:hAnsi="LMRoman12"/>
      <w:lang w:val="en-US"/>
      <w14:ligatures w14:val="standardContextual"/>
    </w:rPr>
  </w:style>
  <w:style w:type="paragraph" w:styleId="List5">
    <w:name w:val="List 5"/>
    <w:basedOn w:val="Normal"/>
    <w:uiPriority w:val="99"/>
    <w:semiHidden/>
    <w:unhideWhenUsed/>
    <w:rsid w:val="00001169"/>
    <w:pPr>
      <w:spacing w:after="0" w:line="240" w:lineRule="auto"/>
      <w:ind w:left="1415" w:hanging="283"/>
      <w:contextualSpacing/>
      <w:jc w:val="both"/>
    </w:pPr>
    <w:rPr>
      <w:rFonts w:ascii="LMRoman12" w:hAnsi="LMRoman12"/>
      <w:lang w:val="en-US"/>
      <w14:ligatures w14:val="standardContextual"/>
    </w:rPr>
  </w:style>
  <w:style w:type="paragraph" w:styleId="ListBullet">
    <w:name w:val="List Bullet"/>
    <w:basedOn w:val="Normal"/>
    <w:uiPriority w:val="99"/>
    <w:semiHidden/>
    <w:unhideWhenUsed/>
    <w:rsid w:val="00001169"/>
    <w:pPr>
      <w:numPr>
        <w:numId w:val="6"/>
      </w:numPr>
      <w:spacing w:after="0" w:line="240" w:lineRule="auto"/>
      <w:contextualSpacing/>
      <w:jc w:val="both"/>
    </w:pPr>
    <w:rPr>
      <w:rFonts w:ascii="LMRoman12" w:hAnsi="LMRoman12"/>
      <w:lang w:val="en-US"/>
      <w14:ligatures w14:val="standardContextual"/>
    </w:rPr>
  </w:style>
  <w:style w:type="paragraph" w:styleId="ListBullet2">
    <w:name w:val="List Bullet 2"/>
    <w:basedOn w:val="Normal"/>
    <w:uiPriority w:val="99"/>
    <w:semiHidden/>
    <w:unhideWhenUsed/>
    <w:rsid w:val="00001169"/>
    <w:pPr>
      <w:numPr>
        <w:numId w:val="7"/>
      </w:numPr>
      <w:spacing w:after="0" w:line="240" w:lineRule="auto"/>
      <w:contextualSpacing/>
      <w:jc w:val="both"/>
    </w:pPr>
    <w:rPr>
      <w:rFonts w:ascii="LMRoman12" w:hAnsi="LMRoman12"/>
      <w:lang w:val="en-US"/>
      <w14:ligatures w14:val="standardContextual"/>
    </w:rPr>
  </w:style>
  <w:style w:type="paragraph" w:styleId="ListBullet3">
    <w:name w:val="List Bullet 3"/>
    <w:basedOn w:val="Normal"/>
    <w:uiPriority w:val="99"/>
    <w:semiHidden/>
    <w:unhideWhenUsed/>
    <w:rsid w:val="00001169"/>
    <w:pPr>
      <w:numPr>
        <w:numId w:val="8"/>
      </w:numPr>
      <w:spacing w:after="0" w:line="240" w:lineRule="auto"/>
      <w:contextualSpacing/>
      <w:jc w:val="both"/>
    </w:pPr>
    <w:rPr>
      <w:rFonts w:ascii="LMRoman12" w:hAnsi="LMRoman12"/>
      <w:lang w:val="en-US"/>
      <w14:ligatures w14:val="standardContextual"/>
    </w:rPr>
  </w:style>
  <w:style w:type="paragraph" w:styleId="ListBullet4">
    <w:name w:val="List Bullet 4"/>
    <w:basedOn w:val="Normal"/>
    <w:uiPriority w:val="99"/>
    <w:semiHidden/>
    <w:unhideWhenUsed/>
    <w:rsid w:val="00001169"/>
    <w:pPr>
      <w:numPr>
        <w:numId w:val="9"/>
      </w:numPr>
      <w:spacing w:after="0" w:line="240" w:lineRule="auto"/>
      <w:contextualSpacing/>
      <w:jc w:val="both"/>
    </w:pPr>
    <w:rPr>
      <w:rFonts w:ascii="LMRoman12" w:hAnsi="LMRoman12"/>
      <w:lang w:val="en-US"/>
      <w14:ligatures w14:val="standardContextual"/>
    </w:rPr>
  </w:style>
  <w:style w:type="paragraph" w:styleId="ListBullet5">
    <w:name w:val="List Bullet 5"/>
    <w:basedOn w:val="Normal"/>
    <w:uiPriority w:val="99"/>
    <w:semiHidden/>
    <w:unhideWhenUsed/>
    <w:rsid w:val="00001169"/>
    <w:pPr>
      <w:numPr>
        <w:numId w:val="10"/>
      </w:numPr>
      <w:spacing w:after="0" w:line="240" w:lineRule="auto"/>
      <w:contextualSpacing/>
      <w:jc w:val="both"/>
    </w:pPr>
    <w:rPr>
      <w:rFonts w:ascii="LMRoman12" w:hAnsi="LMRoman12"/>
      <w:lang w:val="en-US"/>
      <w14:ligatures w14:val="standardContextual"/>
    </w:rPr>
  </w:style>
  <w:style w:type="paragraph" w:styleId="ListContinue">
    <w:name w:val="List Continue"/>
    <w:basedOn w:val="Normal"/>
    <w:uiPriority w:val="99"/>
    <w:semiHidden/>
    <w:unhideWhenUsed/>
    <w:rsid w:val="00001169"/>
    <w:pPr>
      <w:spacing w:after="120" w:line="240" w:lineRule="auto"/>
      <w:ind w:left="283"/>
      <w:contextualSpacing/>
      <w:jc w:val="both"/>
    </w:pPr>
    <w:rPr>
      <w:rFonts w:ascii="LMRoman12" w:hAnsi="LMRoman12"/>
      <w:lang w:val="en-US"/>
      <w14:ligatures w14:val="standardContextual"/>
    </w:rPr>
  </w:style>
  <w:style w:type="paragraph" w:styleId="ListContinue2">
    <w:name w:val="List Continue 2"/>
    <w:basedOn w:val="Normal"/>
    <w:uiPriority w:val="99"/>
    <w:semiHidden/>
    <w:unhideWhenUsed/>
    <w:rsid w:val="00001169"/>
    <w:pPr>
      <w:spacing w:after="120" w:line="240" w:lineRule="auto"/>
      <w:ind w:left="566"/>
      <w:contextualSpacing/>
      <w:jc w:val="both"/>
    </w:pPr>
    <w:rPr>
      <w:rFonts w:ascii="LMRoman12" w:hAnsi="LMRoman12"/>
      <w:lang w:val="en-US"/>
      <w14:ligatures w14:val="standardContextual"/>
    </w:rPr>
  </w:style>
  <w:style w:type="paragraph" w:styleId="ListContinue3">
    <w:name w:val="List Continue 3"/>
    <w:basedOn w:val="Normal"/>
    <w:uiPriority w:val="99"/>
    <w:semiHidden/>
    <w:unhideWhenUsed/>
    <w:rsid w:val="00001169"/>
    <w:pPr>
      <w:spacing w:after="120" w:line="240" w:lineRule="auto"/>
      <w:ind w:left="849"/>
      <w:contextualSpacing/>
      <w:jc w:val="both"/>
    </w:pPr>
    <w:rPr>
      <w:rFonts w:ascii="LMRoman12" w:hAnsi="LMRoman12"/>
      <w:lang w:val="en-US"/>
      <w14:ligatures w14:val="standardContextual"/>
    </w:rPr>
  </w:style>
  <w:style w:type="paragraph" w:styleId="ListContinue4">
    <w:name w:val="List Continue 4"/>
    <w:basedOn w:val="Normal"/>
    <w:uiPriority w:val="99"/>
    <w:semiHidden/>
    <w:unhideWhenUsed/>
    <w:rsid w:val="00001169"/>
    <w:pPr>
      <w:spacing w:after="120" w:line="240" w:lineRule="auto"/>
      <w:ind w:left="1132"/>
      <w:contextualSpacing/>
      <w:jc w:val="both"/>
    </w:pPr>
    <w:rPr>
      <w:rFonts w:ascii="LMRoman12" w:hAnsi="LMRoman12"/>
      <w:lang w:val="en-US"/>
      <w14:ligatures w14:val="standardContextual"/>
    </w:rPr>
  </w:style>
  <w:style w:type="paragraph" w:styleId="ListContinue5">
    <w:name w:val="List Continue 5"/>
    <w:basedOn w:val="Normal"/>
    <w:uiPriority w:val="99"/>
    <w:semiHidden/>
    <w:unhideWhenUsed/>
    <w:rsid w:val="00001169"/>
    <w:pPr>
      <w:spacing w:after="120" w:line="240" w:lineRule="auto"/>
      <w:ind w:left="1415"/>
      <w:contextualSpacing/>
      <w:jc w:val="both"/>
    </w:pPr>
    <w:rPr>
      <w:rFonts w:ascii="LMRoman12" w:hAnsi="LMRoman12"/>
      <w:lang w:val="en-US"/>
      <w14:ligatures w14:val="standardContextual"/>
    </w:rPr>
  </w:style>
  <w:style w:type="paragraph" w:styleId="ListNumber">
    <w:name w:val="List Number"/>
    <w:basedOn w:val="Normal"/>
    <w:uiPriority w:val="99"/>
    <w:semiHidden/>
    <w:unhideWhenUsed/>
    <w:rsid w:val="00001169"/>
    <w:pPr>
      <w:numPr>
        <w:numId w:val="11"/>
      </w:numPr>
      <w:spacing w:after="0" w:line="240" w:lineRule="auto"/>
      <w:contextualSpacing/>
      <w:jc w:val="both"/>
    </w:pPr>
    <w:rPr>
      <w:rFonts w:ascii="LMRoman12" w:hAnsi="LMRoman12"/>
      <w:lang w:val="en-US"/>
      <w14:ligatures w14:val="standardContextual"/>
    </w:rPr>
  </w:style>
  <w:style w:type="paragraph" w:styleId="ListNumber2">
    <w:name w:val="List Number 2"/>
    <w:basedOn w:val="Normal"/>
    <w:uiPriority w:val="99"/>
    <w:semiHidden/>
    <w:unhideWhenUsed/>
    <w:rsid w:val="00001169"/>
    <w:pPr>
      <w:numPr>
        <w:numId w:val="12"/>
      </w:numPr>
      <w:spacing w:after="0" w:line="240" w:lineRule="auto"/>
      <w:contextualSpacing/>
      <w:jc w:val="both"/>
    </w:pPr>
    <w:rPr>
      <w:rFonts w:ascii="LMRoman12" w:hAnsi="LMRoman12"/>
      <w:lang w:val="en-US"/>
      <w14:ligatures w14:val="standardContextual"/>
    </w:rPr>
  </w:style>
  <w:style w:type="paragraph" w:styleId="ListNumber3">
    <w:name w:val="List Number 3"/>
    <w:basedOn w:val="Normal"/>
    <w:uiPriority w:val="99"/>
    <w:semiHidden/>
    <w:unhideWhenUsed/>
    <w:rsid w:val="00001169"/>
    <w:pPr>
      <w:numPr>
        <w:numId w:val="13"/>
      </w:numPr>
      <w:spacing w:after="0" w:line="240" w:lineRule="auto"/>
      <w:contextualSpacing/>
      <w:jc w:val="both"/>
    </w:pPr>
    <w:rPr>
      <w:rFonts w:ascii="LMRoman12" w:hAnsi="LMRoman12"/>
      <w:lang w:val="en-US"/>
      <w14:ligatures w14:val="standardContextual"/>
    </w:rPr>
  </w:style>
  <w:style w:type="paragraph" w:styleId="ListNumber4">
    <w:name w:val="List Number 4"/>
    <w:basedOn w:val="Normal"/>
    <w:uiPriority w:val="99"/>
    <w:semiHidden/>
    <w:unhideWhenUsed/>
    <w:rsid w:val="00001169"/>
    <w:pPr>
      <w:numPr>
        <w:numId w:val="14"/>
      </w:numPr>
      <w:spacing w:after="0" w:line="240" w:lineRule="auto"/>
      <w:contextualSpacing/>
      <w:jc w:val="both"/>
    </w:pPr>
    <w:rPr>
      <w:rFonts w:ascii="LMRoman12" w:hAnsi="LMRoman12"/>
      <w:lang w:val="en-US"/>
      <w14:ligatures w14:val="standardContextual"/>
    </w:rPr>
  </w:style>
  <w:style w:type="paragraph" w:styleId="ListNumber5">
    <w:name w:val="List Number 5"/>
    <w:basedOn w:val="Normal"/>
    <w:uiPriority w:val="99"/>
    <w:semiHidden/>
    <w:unhideWhenUsed/>
    <w:rsid w:val="00001169"/>
    <w:pPr>
      <w:numPr>
        <w:numId w:val="15"/>
      </w:numPr>
      <w:spacing w:after="0" w:line="240" w:lineRule="auto"/>
      <w:contextualSpacing/>
      <w:jc w:val="both"/>
    </w:pPr>
    <w:rPr>
      <w:rFonts w:ascii="LMRoman12" w:hAnsi="LMRoman12"/>
      <w:lang w:val="en-US"/>
      <w14:ligatures w14:val="standardContextual"/>
    </w:rPr>
  </w:style>
  <w:style w:type="paragraph" w:styleId="MacroText">
    <w:name w:val="macro"/>
    <w:link w:val="MacroTextChar"/>
    <w:uiPriority w:val="99"/>
    <w:semiHidden/>
    <w:unhideWhenUsed/>
    <w:rsid w:val="00001169"/>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hAnsi="Consolas" w:cs="Consolas"/>
      <w:color w:val="365F91" w:themeColor="accent1" w:themeShade="BF"/>
      <w:sz w:val="20"/>
      <w:szCs w:val="20"/>
      <w:lang w:val="en-US"/>
      <w14:ligatures w14:val="standardContextual"/>
    </w:rPr>
  </w:style>
  <w:style w:type="character" w:customStyle="1" w:styleId="MacroTextChar">
    <w:name w:val="Macro Text Char"/>
    <w:basedOn w:val="DefaultParagraphFont"/>
    <w:link w:val="MacroText"/>
    <w:uiPriority w:val="99"/>
    <w:semiHidden/>
    <w:rsid w:val="00001169"/>
    <w:rPr>
      <w:rFonts w:ascii="Consolas" w:hAnsi="Consolas" w:cs="Consolas"/>
      <w:color w:val="365F91" w:themeColor="accent1" w:themeShade="BF"/>
      <w:sz w:val="20"/>
      <w:szCs w:val="20"/>
      <w:lang w:val="en-US"/>
      <w14:ligatures w14:val="standardContextual"/>
    </w:rPr>
  </w:style>
  <w:style w:type="paragraph" w:styleId="MessageHeader">
    <w:name w:val="Message Header"/>
    <w:basedOn w:val="Normal"/>
    <w:link w:val="MessageHeaderChar"/>
    <w:uiPriority w:val="99"/>
    <w:semiHidden/>
    <w:unhideWhenUsed/>
    <w:rsid w:val="0000116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Theme="majorHAnsi" w:eastAsiaTheme="majorEastAsia" w:hAnsiTheme="majorHAnsi" w:cstheme="majorBidi"/>
      <w:sz w:val="24"/>
      <w:szCs w:val="24"/>
      <w:lang w:val="en-US"/>
      <w14:ligatures w14:val="standardContextual"/>
    </w:rPr>
  </w:style>
  <w:style w:type="character" w:customStyle="1" w:styleId="MessageHeaderChar">
    <w:name w:val="Message Header Char"/>
    <w:basedOn w:val="DefaultParagraphFont"/>
    <w:link w:val="MessageHeader"/>
    <w:uiPriority w:val="99"/>
    <w:semiHidden/>
    <w:rsid w:val="00001169"/>
    <w:rPr>
      <w:rFonts w:asciiTheme="majorHAnsi" w:eastAsiaTheme="majorEastAsia" w:hAnsiTheme="majorHAnsi" w:cstheme="majorBidi"/>
      <w:sz w:val="24"/>
      <w:szCs w:val="24"/>
      <w:shd w:val="pct20" w:color="auto" w:fill="auto"/>
      <w:lang w:val="en-US"/>
      <w14:ligatures w14:val="standardContextual"/>
    </w:rPr>
  </w:style>
  <w:style w:type="paragraph" w:styleId="NoSpacing">
    <w:name w:val="No Spacing"/>
    <w:uiPriority w:val="1"/>
    <w:qFormat/>
    <w:rsid w:val="00001169"/>
    <w:pPr>
      <w:spacing w:after="0" w:line="240" w:lineRule="auto"/>
      <w:jc w:val="both"/>
    </w:pPr>
    <w:rPr>
      <w:rFonts w:ascii="LMRoman12" w:hAnsi="LMRoman12"/>
      <w:color w:val="365F91" w:themeColor="accent1" w:themeShade="BF"/>
      <w:lang w:val="en-US"/>
      <w14:ligatures w14:val="standardContextual"/>
    </w:rPr>
  </w:style>
  <w:style w:type="paragraph" w:styleId="NormalIndent">
    <w:name w:val="Normal Indent"/>
    <w:basedOn w:val="Normal"/>
    <w:uiPriority w:val="99"/>
    <w:semiHidden/>
    <w:unhideWhenUsed/>
    <w:rsid w:val="00001169"/>
    <w:pPr>
      <w:spacing w:after="0" w:line="240" w:lineRule="auto"/>
      <w:ind w:left="708"/>
      <w:jc w:val="both"/>
    </w:pPr>
    <w:rPr>
      <w:rFonts w:ascii="LMRoman12" w:hAnsi="LMRoman12"/>
      <w:lang w:val="en-US"/>
      <w14:ligatures w14:val="standardContextual"/>
    </w:rPr>
  </w:style>
  <w:style w:type="paragraph" w:styleId="NoteHeading">
    <w:name w:val="Note Heading"/>
    <w:basedOn w:val="Normal"/>
    <w:next w:val="Normal"/>
    <w:link w:val="NoteHeading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NoteHeadingChar">
    <w:name w:val="Note Heading Char"/>
    <w:basedOn w:val="DefaultParagraphFont"/>
    <w:link w:val="NoteHeading"/>
    <w:uiPriority w:val="99"/>
    <w:semiHidden/>
    <w:rsid w:val="00001169"/>
    <w:rPr>
      <w:rFonts w:ascii="LMRoman12" w:hAnsi="LMRoman12"/>
      <w:lang w:val="en-US"/>
      <w14:ligatures w14:val="standardContextual"/>
    </w:rPr>
  </w:style>
  <w:style w:type="paragraph" w:styleId="Quote">
    <w:name w:val="Quote"/>
    <w:basedOn w:val="Normal"/>
    <w:next w:val="Normal"/>
    <w:link w:val="QuoteChar"/>
    <w:uiPriority w:val="29"/>
    <w:qFormat/>
    <w:rsid w:val="00001169"/>
    <w:pPr>
      <w:spacing w:before="200" w:after="160" w:line="240" w:lineRule="auto"/>
      <w:ind w:left="864" w:right="864"/>
      <w:jc w:val="center"/>
    </w:pPr>
    <w:rPr>
      <w:rFonts w:ascii="LMRoman12" w:hAnsi="LMRoman12"/>
      <w:i/>
      <w:iCs/>
      <w:color w:val="404040" w:themeColor="text1" w:themeTint="BF"/>
      <w:lang w:val="en-US"/>
      <w14:ligatures w14:val="standardContextual"/>
    </w:rPr>
  </w:style>
  <w:style w:type="character" w:customStyle="1" w:styleId="QuoteChar">
    <w:name w:val="Quote Char"/>
    <w:basedOn w:val="DefaultParagraphFont"/>
    <w:link w:val="Quote"/>
    <w:uiPriority w:val="29"/>
    <w:rsid w:val="00001169"/>
    <w:rPr>
      <w:rFonts w:ascii="LMRoman12" w:hAnsi="LMRoman12"/>
      <w:i/>
      <w:iCs/>
      <w:color w:val="404040" w:themeColor="text1" w:themeTint="BF"/>
      <w:lang w:val="en-US"/>
      <w14:ligatures w14:val="standardContextual"/>
    </w:rPr>
  </w:style>
  <w:style w:type="paragraph" w:styleId="Salutation">
    <w:name w:val="Salutation"/>
    <w:basedOn w:val="Normal"/>
    <w:next w:val="Normal"/>
    <w:link w:val="Salutation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SalutationChar">
    <w:name w:val="Salutation Char"/>
    <w:basedOn w:val="DefaultParagraphFont"/>
    <w:link w:val="Salutation"/>
    <w:uiPriority w:val="99"/>
    <w:semiHidden/>
    <w:rsid w:val="00001169"/>
    <w:rPr>
      <w:rFonts w:ascii="LMRoman12" w:hAnsi="LMRoman12"/>
      <w:lang w:val="en-US"/>
      <w14:ligatures w14:val="standardContextual"/>
    </w:rPr>
  </w:style>
  <w:style w:type="paragraph" w:styleId="Signature">
    <w:name w:val="Signature"/>
    <w:basedOn w:val="Normal"/>
    <w:link w:val="SignatureChar"/>
    <w:uiPriority w:val="99"/>
    <w:semiHidden/>
    <w:unhideWhenUsed/>
    <w:rsid w:val="00001169"/>
    <w:pPr>
      <w:spacing w:after="0" w:line="240" w:lineRule="auto"/>
      <w:ind w:left="4252"/>
      <w:jc w:val="both"/>
    </w:pPr>
    <w:rPr>
      <w:rFonts w:ascii="LMRoman12" w:hAnsi="LMRoman12"/>
      <w:lang w:val="en-US"/>
      <w14:ligatures w14:val="standardContextual"/>
    </w:rPr>
  </w:style>
  <w:style w:type="character" w:customStyle="1" w:styleId="SignatureChar">
    <w:name w:val="Signature Char"/>
    <w:basedOn w:val="DefaultParagraphFont"/>
    <w:link w:val="Signature"/>
    <w:uiPriority w:val="99"/>
    <w:semiHidden/>
    <w:rsid w:val="00001169"/>
    <w:rPr>
      <w:rFonts w:ascii="LMRoman12" w:hAnsi="LMRoman12"/>
      <w:lang w:val="en-US"/>
      <w14:ligatures w14:val="standardContextual"/>
    </w:rPr>
  </w:style>
  <w:style w:type="paragraph" w:styleId="TableofAuthorities">
    <w:name w:val="table of authorities"/>
    <w:basedOn w:val="Normal"/>
    <w:next w:val="Normal"/>
    <w:uiPriority w:val="99"/>
    <w:semiHidden/>
    <w:unhideWhenUsed/>
    <w:rsid w:val="00001169"/>
    <w:pPr>
      <w:spacing w:after="0" w:line="240" w:lineRule="auto"/>
      <w:ind w:left="220" w:hanging="220"/>
      <w:jc w:val="both"/>
    </w:pPr>
    <w:rPr>
      <w:rFonts w:ascii="LMRoman12" w:hAnsi="LMRoman12"/>
      <w:lang w:val="en-US"/>
      <w14:ligatures w14:val="standardContextual"/>
    </w:rPr>
  </w:style>
  <w:style w:type="paragraph" w:styleId="Title">
    <w:name w:val="Title"/>
    <w:basedOn w:val="Normal"/>
    <w:next w:val="Normal"/>
    <w:link w:val="TitleChar"/>
    <w:uiPriority w:val="10"/>
    <w:qFormat/>
    <w:rsid w:val="00001169"/>
    <w:pPr>
      <w:spacing w:after="0" w:line="240" w:lineRule="auto"/>
      <w:contextualSpacing/>
      <w:jc w:val="both"/>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001169"/>
    <w:rPr>
      <w:rFonts w:asciiTheme="majorHAnsi" w:eastAsiaTheme="majorEastAsia" w:hAnsiTheme="majorHAnsi" w:cstheme="majorBidi"/>
      <w:spacing w:val="-10"/>
      <w:kern w:val="28"/>
      <w:sz w:val="56"/>
      <w:szCs w:val="56"/>
      <w:lang w:val="en-US"/>
      <w14:ligatures w14:val="standardContextual"/>
    </w:rPr>
  </w:style>
  <w:style w:type="paragraph" w:styleId="TOAHeading">
    <w:name w:val="toa heading"/>
    <w:basedOn w:val="Normal"/>
    <w:next w:val="Normal"/>
    <w:uiPriority w:val="99"/>
    <w:semiHidden/>
    <w:unhideWhenUsed/>
    <w:rsid w:val="00001169"/>
    <w:pPr>
      <w:spacing w:before="120" w:after="0" w:line="240" w:lineRule="auto"/>
      <w:jc w:val="both"/>
    </w:pPr>
    <w:rPr>
      <w:rFonts w:asciiTheme="majorHAnsi" w:eastAsiaTheme="majorEastAsia" w:hAnsiTheme="majorHAnsi" w:cstheme="majorBidi"/>
      <w:b/>
      <w:bCs/>
      <w:sz w:val="24"/>
      <w:szCs w:val="24"/>
      <w:lang w:val="en-US"/>
      <w14:ligatures w14:val="standardContextual"/>
    </w:rPr>
  </w:style>
  <w:style w:type="character" w:customStyle="1" w:styleId="Hidden">
    <w:name w:val="Hidden"/>
    <w:basedOn w:val="DefaultParagraphFont"/>
    <w:uiPriority w:val="1"/>
    <w:qFormat/>
    <w:rsid w:val="00001169"/>
    <w:rPr>
      <w:vanish/>
    </w:rPr>
  </w:style>
  <w:style w:type="character" w:customStyle="1" w:styleId="ListofAlgorithmsChar">
    <w:name w:val="List of Algorithms Char"/>
    <w:basedOn w:val="TableofFiguresChar"/>
    <w:link w:val="ListofAlgorithms"/>
    <w:rsid w:val="00001169"/>
    <w:rPr>
      <w:rFonts w:ascii="LMRoman12" w:hAnsi="LMRoman12"/>
      <w:noProof/>
      <w:lang w:val="en-US"/>
      <w14:ligatures w14:val="standardContextual"/>
    </w:rPr>
  </w:style>
  <w:style w:type="table" w:customStyle="1" w:styleId="TableContainer">
    <w:name w:val="Table Container"/>
    <w:basedOn w:val="TableNormal"/>
    <w:uiPriority w:val="99"/>
    <w:rsid w:val="00001169"/>
    <w:pPr>
      <w:spacing w:after="0" w:line="240" w:lineRule="auto"/>
    </w:pPr>
    <w:rPr>
      <w:lang w:val="sl-SI"/>
    </w:rPr>
    <w:tblPr/>
  </w:style>
  <w:style w:type="character" w:customStyle="1" w:styleId="apple-converted-space">
    <w:name w:val="apple-converted-space"/>
    <w:basedOn w:val="DefaultParagraphFont"/>
    <w:rsid w:val="00001169"/>
  </w:style>
  <w:style w:type="paragraph" w:customStyle="1" w:styleId="IOPAff">
    <w:name w:val="IOPAff"/>
    <w:basedOn w:val="Normal"/>
    <w:link w:val="IOPAffChar"/>
    <w:qFormat/>
    <w:rsid w:val="00001169"/>
    <w:pPr>
      <w:spacing w:after="0" w:line="259" w:lineRule="auto"/>
      <w:ind w:right="2552"/>
    </w:pPr>
    <w:rPr>
      <w:rFonts w:ascii="Times New Roman" w:eastAsia="Calibri" w:hAnsi="Times New Roman" w:cs="Times New Roman"/>
      <w:sz w:val="18"/>
      <w:szCs w:val="18"/>
    </w:rPr>
  </w:style>
  <w:style w:type="character" w:customStyle="1" w:styleId="IOPAffChar">
    <w:name w:val="IOPAff Char"/>
    <w:link w:val="IOPAff"/>
    <w:rsid w:val="00001169"/>
    <w:rPr>
      <w:rFonts w:ascii="Times New Roman" w:eastAsia="Calibri" w:hAnsi="Times New Roman" w:cs="Times New Roman"/>
      <w:sz w:val="18"/>
      <w:szCs w:val="18"/>
    </w:rPr>
  </w:style>
  <w:style w:type="character" w:customStyle="1" w:styleId="oypena">
    <w:name w:val="oypena"/>
    <w:basedOn w:val="DefaultParagraphFont"/>
    <w:rsid w:val="00001169"/>
  </w:style>
  <w:style w:type="character" w:customStyle="1" w:styleId="sr-only">
    <w:name w:val="sr-only"/>
    <w:basedOn w:val="DefaultParagraphFont"/>
    <w:rsid w:val="005E38EF"/>
  </w:style>
  <w:style w:type="character" w:customStyle="1" w:styleId="list-content">
    <w:name w:val="list-content"/>
    <w:basedOn w:val="DefaultParagraphFont"/>
    <w:rsid w:val="005E38EF"/>
  </w:style>
  <w:style w:type="character" w:customStyle="1" w:styleId="list-label">
    <w:name w:val="list-label"/>
    <w:basedOn w:val="DefaultParagraphFont"/>
    <w:rsid w:val="005E38EF"/>
  </w:style>
  <w:style w:type="character" w:customStyle="1" w:styleId="y2iqfc">
    <w:name w:val="y2iqfc"/>
    <w:basedOn w:val="DefaultParagraphFont"/>
    <w:rsid w:val="005E38EF"/>
  </w:style>
  <w:style w:type="paragraph" w:customStyle="1" w:styleId="IOPText">
    <w:name w:val="IOPText"/>
    <w:basedOn w:val="Normal"/>
    <w:link w:val="IOPTextChar"/>
    <w:qFormat/>
    <w:rsid w:val="005E38EF"/>
    <w:pPr>
      <w:spacing w:after="0" w:line="259" w:lineRule="auto"/>
      <w:ind w:firstLine="227"/>
      <w:jc w:val="both"/>
    </w:pPr>
    <w:rPr>
      <w:rFonts w:ascii="Times New Roman" w:eastAsia="Calibri" w:hAnsi="Times New Roman" w:cs="Times New Roman"/>
      <w:sz w:val="20"/>
    </w:rPr>
  </w:style>
  <w:style w:type="character" w:customStyle="1" w:styleId="IOPTextChar">
    <w:name w:val="IOPText Char"/>
    <w:link w:val="IOPText"/>
    <w:rsid w:val="005E38EF"/>
    <w:rPr>
      <w:rFonts w:ascii="Times New Roman" w:eastAsia="Calibri" w:hAnsi="Times New Roman" w:cs="Times New Roman"/>
      <w:sz w:val="20"/>
    </w:rPr>
  </w:style>
  <w:style w:type="paragraph" w:customStyle="1" w:styleId="IOPAbsText">
    <w:name w:val="IOPAbsText"/>
    <w:basedOn w:val="Normal"/>
    <w:link w:val="IOPAbsTextChar"/>
    <w:qFormat/>
    <w:rsid w:val="005E38EF"/>
    <w:pPr>
      <w:spacing w:after="0" w:line="259" w:lineRule="auto"/>
      <w:ind w:right="2552"/>
    </w:pPr>
    <w:rPr>
      <w:rFonts w:ascii="Times New Roman" w:eastAsia="Calibri" w:hAnsi="Times New Roman" w:cs="Times New Roman"/>
      <w:sz w:val="20"/>
    </w:rPr>
  </w:style>
  <w:style w:type="character" w:customStyle="1" w:styleId="IOPAbsTextChar">
    <w:name w:val="IOPAbsText Char"/>
    <w:link w:val="IOPAbsText"/>
    <w:rsid w:val="005E38EF"/>
    <w:rPr>
      <w:rFonts w:ascii="Times New Roman" w:eastAsia="Calibri" w:hAnsi="Times New Roman" w:cs="Times New Roman"/>
      <w:sz w:val="20"/>
    </w:rPr>
  </w:style>
  <w:style w:type="paragraph" w:customStyle="1" w:styleId="oj-normal">
    <w:name w:val="oj-normal"/>
    <w:basedOn w:val="Normal"/>
    <w:rsid w:val="005E38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5E38EF"/>
  </w:style>
  <w:style w:type="character" w:customStyle="1" w:styleId="ls9">
    <w:name w:val="ls9"/>
    <w:basedOn w:val="DefaultParagraphFont"/>
    <w:rsid w:val="000C1A7D"/>
  </w:style>
  <w:style w:type="character" w:customStyle="1" w:styleId="ls5">
    <w:name w:val="ls5"/>
    <w:basedOn w:val="DefaultParagraphFont"/>
    <w:rsid w:val="000C1A7D"/>
  </w:style>
  <w:style w:type="character" w:customStyle="1" w:styleId="lsa">
    <w:name w:val="lsa"/>
    <w:basedOn w:val="DefaultParagraphFont"/>
    <w:rsid w:val="000C1A7D"/>
  </w:style>
  <w:style w:type="character" w:customStyle="1" w:styleId="ls2a">
    <w:name w:val="ls2a"/>
    <w:basedOn w:val="DefaultParagraphFont"/>
    <w:rsid w:val="000C1A7D"/>
  </w:style>
  <w:style w:type="character" w:customStyle="1" w:styleId="ls3">
    <w:name w:val="ls3"/>
    <w:basedOn w:val="DefaultParagraphFont"/>
    <w:rsid w:val="000C1A7D"/>
  </w:style>
  <w:style w:type="character" w:customStyle="1" w:styleId="lsc">
    <w:name w:val="lsc"/>
    <w:basedOn w:val="DefaultParagraphFont"/>
    <w:rsid w:val="000C1A7D"/>
  </w:style>
  <w:style w:type="character" w:customStyle="1" w:styleId="lsd">
    <w:name w:val="lsd"/>
    <w:basedOn w:val="DefaultParagraphFont"/>
    <w:rsid w:val="000C1A7D"/>
  </w:style>
  <w:style w:type="character" w:customStyle="1" w:styleId="lse">
    <w:name w:val="lse"/>
    <w:basedOn w:val="DefaultParagraphFont"/>
    <w:rsid w:val="000C1A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1F9"/>
  </w:style>
  <w:style w:type="paragraph" w:styleId="Heading1">
    <w:name w:val="heading 1"/>
    <w:basedOn w:val="Normal"/>
    <w:next w:val="Paragraph-First"/>
    <w:link w:val="Heading1Char"/>
    <w:uiPriority w:val="9"/>
    <w:qFormat/>
    <w:rsid w:val="00001169"/>
    <w:pPr>
      <w:keepNext/>
      <w:keepLines/>
      <w:numPr>
        <w:numId w:val="4"/>
      </w:numPr>
      <w:spacing w:after="680" w:line="240" w:lineRule="auto"/>
      <w:outlineLvl w:val="0"/>
    </w:pPr>
    <w:rPr>
      <w:rFonts w:ascii="LMRoman12" w:eastAsiaTheme="majorEastAsia" w:hAnsi="LMRoman12" w:cstheme="majorBidi"/>
      <w:b/>
      <w:spacing w:val="-16"/>
      <w:sz w:val="48"/>
      <w:szCs w:val="26"/>
      <w:lang w:val="en-US"/>
      <w14:ligatures w14:val="standardContextual"/>
    </w:rPr>
  </w:style>
  <w:style w:type="paragraph" w:styleId="Heading2">
    <w:name w:val="heading 2"/>
    <w:basedOn w:val="HeadingPre"/>
    <w:next w:val="Paragraph-First"/>
    <w:link w:val="Heading2Char"/>
    <w:uiPriority w:val="9"/>
    <w:unhideWhenUsed/>
    <w:qFormat/>
    <w:rsid w:val="00001169"/>
    <w:pPr>
      <w:numPr>
        <w:ilvl w:val="1"/>
        <w:numId w:val="4"/>
      </w:numPr>
      <w:spacing w:before="320" w:after="180"/>
      <w:outlineLvl w:val="1"/>
    </w:pPr>
    <w:rPr>
      <w:rFonts w:eastAsiaTheme="majorEastAsia" w:cstheme="majorBidi"/>
      <w:b/>
      <w:sz w:val="30"/>
      <w:szCs w:val="26"/>
    </w:rPr>
  </w:style>
  <w:style w:type="paragraph" w:styleId="Heading3">
    <w:name w:val="heading 3"/>
    <w:basedOn w:val="HeadingPre"/>
    <w:next w:val="Paragraph-First"/>
    <w:link w:val="Heading3Char"/>
    <w:uiPriority w:val="9"/>
    <w:unhideWhenUsed/>
    <w:qFormat/>
    <w:rsid w:val="00001169"/>
    <w:pPr>
      <w:numPr>
        <w:ilvl w:val="2"/>
        <w:numId w:val="4"/>
      </w:numPr>
      <w:spacing w:before="240" w:after="120"/>
      <w:outlineLvl w:val="2"/>
    </w:pPr>
    <w:rPr>
      <w:rFonts w:eastAsiaTheme="majorEastAsia" w:cstheme="majorBidi"/>
      <w:b/>
      <w:iCs/>
      <w:sz w:val="26"/>
      <w:szCs w:val="26"/>
    </w:rPr>
  </w:style>
  <w:style w:type="paragraph" w:styleId="Heading4">
    <w:name w:val="heading 4"/>
    <w:basedOn w:val="HeadingPre"/>
    <w:next w:val="Paragraph-First"/>
    <w:link w:val="Heading4Char"/>
    <w:uiPriority w:val="9"/>
    <w:unhideWhenUsed/>
    <w:qFormat/>
    <w:rsid w:val="00001169"/>
    <w:pPr>
      <w:numPr>
        <w:ilvl w:val="3"/>
        <w:numId w:val="4"/>
      </w:numPr>
      <w:spacing w:before="240" w:after="120"/>
      <w:outlineLvl w:val="3"/>
    </w:pPr>
    <w:rPr>
      <w:rFonts w:eastAsiaTheme="majorEastAsia" w:cstheme="majorBidi"/>
      <w:b/>
      <w:bCs/>
      <w:szCs w:val="26"/>
    </w:rPr>
  </w:style>
  <w:style w:type="paragraph" w:styleId="Heading5">
    <w:name w:val="heading 5"/>
    <w:basedOn w:val="HeadingPre"/>
    <w:next w:val="Paragraph-First"/>
    <w:link w:val="Heading5Char"/>
    <w:uiPriority w:val="9"/>
    <w:unhideWhenUsed/>
    <w:qFormat/>
    <w:rsid w:val="00001169"/>
    <w:pPr>
      <w:keepNext w:val="0"/>
      <w:keepLines w:val="0"/>
      <w:numPr>
        <w:ilvl w:val="4"/>
        <w:numId w:val="4"/>
      </w:numPr>
      <w:tabs>
        <w:tab w:val="left" w:pos="1151"/>
      </w:tabs>
      <w:spacing w:before="280"/>
      <w:ind w:left="0" w:firstLine="0"/>
      <w:outlineLvl w:val="4"/>
    </w:pPr>
    <w:rPr>
      <w:b/>
    </w:rPr>
  </w:style>
  <w:style w:type="paragraph" w:styleId="Heading6">
    <w:name w:val="heading 6"/>
    <w:basedOn w:val="HeadingPre"/>
    <w:next w:val="Paragraph-First"/>
    <w:link w:val="Heading6Char"/>
    <w:uiPriority w:val="9"/>
    <w:unhideWhenUsed/>
    <w:qFormat/>
    <w:rsid w:val="00001169"/>
    <w:pPr>
      <w:keepNext w:val="0"/>
      <w:keepLines w:val="0"/>
      <w:numPr>
        <w:ilvl w:val="5"/>
        <w:numId w:val="4"/>
      </w:numPr>
      <w:spacing w:before="280"/>
      <w:ind w:left="0" w:firstLine="340"/>
      <w:outlineLvl w:val="5"/>
    </w:pPr>
    <w:rPr>
      <w:rFonts w:eastAsiaTheme="majorEastAsia" w:cstheme="majorBidi"/>
      <w:b/>
      <w:bCs/>
      <w:szCs w:val="26"/>
    </w:rPr>
  </w:style>
  <w:style w:type="paragraph" w:styleId="Heading7">
    <w:name w:val="heading 7"/>
    <w:aliases w:val="Appendix 1"/>
    <w:basedOn w:val="Normal"/>
    <w:next w:val="Paragraph-First"/>
    <w:link w:val="Heading7Char"/>
    <w:uiPriority w:val="9"/>
    <w:unhideWhenUsed/>
    <w:rsid w:val="00001169"/>
    <w:pPr>
      <w:keepNext/>
      <w:keepLines/>
      <w:numPr>
        <w:numId w:val="5"/>
      </w:numPr>
      <w:spacing w:after="680" w:line="240" w:lineRule="auto"/>
      <w:outlineLvl w:val="6"/>
    </w:pPr>
    <w:rPr>
      <w:rFonts w:ascii="LMRoman12" w:eastAsiaTheme="majorEastAsia" w:hAnsi="LMRoman12" w:cstheme="majorBidi"/>
      <w:b/>
      <w:spacing w:val="-16"/>
      <w:sz w:val="48"/>
      <w:szCs w:val="26"/>
      <w:lang w:val="en-US"/>
      <w14:ligatures w14:val="standardContextual"/>
    </w:rPr>
  </w:style>
  <w:style w:type="paragraph" w:styleId="Heading8">
    <w:name w:val="heading 8"/>
    <w:basedOn w:val="Heading5"/>
    <w:next w:val="Normal"/>
    <w:link w:val="Heading8Char"/>
    <w:uiPriority w:val="9"/>
    <w:unhideWhenUsed/>
    <w:rsid w:val="00001169"/>
    <w:pPr>
      <w:tabs>
        <w:tab w:val="clear" w:pos="1151"/>
      </w:tabs>
      <w:outlineLvl w:val="7"/>
    </w:pPr>
  </w:style>
  <w:style w:type="paragraph" w:styleId="Heading9">
    <w:name w:val="heading 9"/>
    <w:basedOn w:val="Heading6"/>
    <w:next w:val="Normal"/>
    <w:link w:val="Heading9Char"/>
    <w:uiPriority w:val="9"/>
    <w:unhideWhenUsed/>
    <w:rsid w:val="0000116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5D7029"/>
  </w:style>
  <w:style w:type="paragraph" w:styleId="BalloonText">
    <w:name w:val="Balloon Text"/>
    <w:basedOn w:val="Normal"/>
    <w:link w:val="BalloonTextChar"/>
    <w:uiPriority w:val="99"/>
    <w:semiHidden/>
    <w:unhideWhenUsed/>
    <w:rsid w:val="00820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349"/>
    <w:rPr>
      <w:rFonts w:ascii="Tahoma" w:hAnsi="Tahoma" w:cs="Tahoma"/>
      <w:sz w:val="16"/>
      <w:szCs w:val="16"/>
    </w:rPr>
  </w:style>
  <w:style w:type="table" w:styleId="TableGrid">
    <w:name w:val="Table Grid"/>
    <w:basedOn w:val="TableNormal"/>
    <w:uiPriority w:val="59"/>
    <w:rsid w:val="00811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5CB2"/>
    <w:pPr>
      <w:ind w:left="720"/>
      <w:contextualSpacing/>
    </w:pPr>
  </w:style>
  <w:style w:type="paragraph" w:styleId="Caption">
    <w:name w:val="caption"/>
    <w:basedOn w:val="Normal"/>
    <w:next w:val="Normal"/>
    <w:uiPriority w:val="35"/>
    <w:unhideWhenUsed/>
    <w:qFormat/>
    <w:rsid w:val="00AE5A7C"/>
    <w:pPr>
      <w:spacing w:line="240" w:lineRule="auto"/>
    </w:pPr>
    <w:rPr>
      <w:b/>
      <w:bCs/>
      <w:color w:val="4F81BD" w:themeColor="accent1"/>
      <w:sz w:val="18"/>
      <w:szCs w:val="18"/>
    </w:rPr>
  </w:style>
  <w:style w:type="character" w:styleId="Hyperlink">
    <w:name w:val="Hyperlink"/>
    <w:basedOn w:val="DefaultParagraphFont"/>
    <w:uiPriority w:val="99"/>
    <w:unhideWhenUsed/>
    <w:rsid w:val="006E3B9B"/>
    <w:rPr>
      <w:color w:val="0000FF" w:themeColor="hyperlink"/>
      <w:u w:val="single"/>
    </w:rPr>
  </w:style>
  <w:style w:type="character" w:styleId="CommentReference">
    <w:name w:val="annotation reference"/>
    <w:basedOn w:val="DefaultParagraphFont"/>
    <w:uiPriority w:val="99"/>
    <w:semiHidden/>
    <w:unhideWhenUsed/>
    <w:rsid w:val="003459C5"/>
    <w:rPr>
      <w:sz w:val="16"/>
      <w:szCs w:val="16"/>
    </w:rPr>
  </w:style>
  <w:style w:type="paragraph" w:styleId="CommentText">
    <w:name w:val="annotation text"/>
    <w:basedOn w:val="Normal"/>
    <w:link w:val="CommentTextChar"/>
    <w:uiPriority w:val="99"/>
    <w:semiHidden/>
    <w:unhideWhenUsed/>
    <w:rsid w:val="003459C5"/>
    <w:pPr>
      <w:spacing w:line="240" w:lineRule="auto"/>
    </w:pPr>
    <w:rPr>
      <w:sz w:val="20"/>
      <w:szCs w:val="20"/>
    </w:rPr>
  </w:style>
  <w:style w:type="character" w:customStyle="1" w:styleId="CommentTextChar">
    <w:name w:val="Comment Text Char"/>
    <w:basedOn w:val="DefaultParagraphFont"/>
    <w:link w:val="CommentText"/>
    <w:uiPriority w:val="99"/>
    <w:semiHidden/>
    <w:rsid w:val="003459C5"/>
    <w:rPr>
      <w:sz w:val="20"/>
      <w:szCs w:val="20"/>
    </w:rPr>
  </w:style>
  <w:style w:type="paragraph" w:styleId="CommentSubject">
    <w:name w:val="annotation subject"/>
    <w:basedOn w:val="CommentText"/>
    <w:next w:val="CommentText"/>
    <w:link w:val="CommentSubjectChar"/>
    <w:uiPriority w:val="99"/>
    <w:semiHidden/>
    <w:unhideWhenUsed/>
    <w:rsid w:val="003459C5"/>
    <w:rPr>
      <w:b/>
      <w:bCs/>
    </w:rPr>
  </w:style>
  <w:style w:type="character" w:customStyle="1" w:styleId="CommentSubjectChar">
    <w:name w:val="Comment Subject Char"/>
    <w:basedOn w:val="CommentTextChar"/>
    <w:link w:val="CommentSubject"/>
    <w:uiPriority w:val="99"/>
    <w:semiHidden/>
    <w:rsid w:val="003459C5"/>
    <w:rPr>
      <w:b/>
      <w:bCs/>
      <w:sz w:val="20"/>
      <w:szCs w:val="20"/>
    </w:rPr>
  </w:style>
  <w:style w:type="paragraph" w:styleId="FootnoteText">
    <w:name w:val="footnote text"/>
    <w:basedOn w:val="Normal"/>
    <w:link w:val="FootnoteTextChar"/>
    <w:uiPriority w:val="99"/>
    <w:unhideWhenUsed/>
    <w:rsid w:val="00EE73C7"/>
    <w:pPr>
      <w:spacing w:after="0" w:line="240" w:lineRule="auto"/>
    </w:pPr>
    <w:rPr>
      <w:sz w:val="20"/>
      <w:szCs w:val="20"/>
    </w:rPr>
  </w:style>
  <w:style w:type="character" w:customStyle="1" w:styleId="FootnoteTextChar">
    <w:name w:val="Footnote Text Char"/>
    <w:basedOn w:val="DefaultParagraphFont"/>
    <w:link w:val="FootnoteText"/>
    <w:uiPriority w:val="99"/>
    <w:rsid w:val="00EE73C7"/>
    <w:rPr>
      <w:sz w:val="20"/>
      <w:szCs w:val="20"/>
    </w:rPr>
  </w:style>
  <w:style w:type="character" w:styleId="FootnoteReference">
    <w:name w:val="footnote reference"/>
    <w:basedOn w:val="DefaultParagraphFont"/>
    <w:uiPriority w:val="99"/>
    <w:semiHidden/>
    <w:unhideWhenUsed/>
    <w:rsid w:val="00EE73C7"/>
    <w:rPr>
      <w:vertAlign w:val="superscript"/>
    </w:rPr>
  </w:style>
  <w:style w:type="paragraph" w:styleId="Bibliography">
    <w:name w:val="Bibliography"/>
    <w:basedOn w:val="Normal"/>
    <w:next w:val="Normal"/>
    <w:uiPriority w:val="37"/>
    <w:unhideWhenUsed/>
    <w:rsid w:val="00EE73C7"/>
    <w:pPr>
      <w:tabs>
        <w:tab w:val="left" w:pos="504"/>
      </w:tabs>
      <w:spacing w:after="240" w:line="240" w:lineRule="auto"/>
      <w:ind w:left="504" w:hanging="504"/>
    </w:pPr>
  </w:style>
  <w:style w:type="character" w:styleId="FollowedHyperlink">
    <w:name w:val="FollowedHyperlink"/>
    <w:basedOn w:val="DefaultParagraphFont"/>
    <w:uiPriority w:val="99"/>
    <w:semiHidden/>
    <w:unhideWhenUsed/>
    <w:rsid w:val="00EE6973"/>
    <w:rPr>
      <w:color w:val="800080" w:themeColor="followedHyperlink"/>
      <w:u w:val="single"/>
    </w:rPr>
  </w:style>
  <w:style w:type="paragraph" w:styleId="NormalWeb">
    <w:name w:val="Normal (Web)"/>
    <w:basedOn w:val="Normal"/>
    <w:uiPriority w:val="99"/>
    <w:unhideWhenUsed/>
    <w:rsid w:val="00EF48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unhideWhenUsed/>
    <w:rsid w:val="00EF48B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rsid w:val="00EF48B4"/>
    <w:rPr>
      <w:rFonts w:ascii="Arial" w:eastAsia="Times New Roman" w:hAnsi="Arial" w:cs="Arial"/>
      <w:vanish/>
      <w:sz w:val="16"/>
      <w:szCs w:val="16"/>
      <w:lang w:eastAsia="en-GB"/>
    </w:rPr>
  </w:style>
  <w:style w:type="table" w:styleId="MediumList2">
    <w:name w:val="Medium List 2"/>
    <w:basedOn w:val="TableNormal"/>
    <w:uiPriority w:val="66"/>
    <w:rsid w:val="008C21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Revision">
    <w:name w:val="Revision"/>
    <w:hidden/>
    <w:uiPriority w:val="99"/>
    <w:semiHidden/>
    <w:rsid w:val="00DF367E"/>
    <w:pPr>
      <w:spacing w:after="0" w:line="240" w:lineRule="auto"/>
    </w:pPr>
  </w:style>
  <w:style w:type="character" w:customStyle="1" w:styleId="anchor-text">
    <w:name w:val="anchor-text"/>
    <w:basedOn w:val="DefaultParagraphFont"/>
    <w:rsid w:val="00EC471D"/>
  </w:style>
  <w:style w:type="paragraph" w:styleId="PlainText">
    <w:name w:val="Plain Text"/>
    <w:basedOn w:val="Normal"/>
    <w:link w:val="PlainTextChar"/>
    <w:uiPriority w:val="99"/>
    <w:unhideWhenUsed/>
    <w:rsid w:val="00D01551"/>
    <w:pPr>
      <w:spacing w:after="0" w:line="240" w:lineRule="auto"/>
    </w:pPr>
    <w:rPr>
      <w:rFonts w:ascii="Calibri" w:eastAsiaTheme="minorEastAsia" w:hAnsi="Calibri" w:cs="Times New Roman"/>
      <w:szCs w:val="21"/>
      <w:lang w:eastAsia="en-GB"/>
    </w:rPr>
  </w:style>
  <w:style w:type="character" w:customStyle="1" w:styleId="PlainTextChar">
    <w:name w:val="Plain Text Char"/>
    <w:basedOn w:val="DefaultParagraphFont"/>
    <w:link w:val="PlainText"/>
    <w:uiPriority w:val="99"/>
    <w:rsid w:val="00D01551"/>
    <w:rPr>
      <w:rFonts w:ascii="Calibri" w:eastAsiaTheme="minorEastAsia" w:hAnsi="Calibri" w:cs="Times New Roman"/>
      <w:szCs w:val="21"/>
      <w:lang w:eastAsia="en-GB"/>
    </w:rPr>
  </w:style>
  <w:style w:type="paragraph" w:customStyle="1" w:styleId="Default">
    <w:name w:val="Default"/>
    <w:rsid w:val="004D1685"/>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4B52A8"/>
    <w:rPr>
      <w:i/>
      <w:iCs/>
    </w:rPr>
  </w:style>
  <w:style w:type="character" w:customStyle="1" w:styleId="Heading1Char">
    <w:name w:val="Heading 1 Char"/>
    <w:basedOn w:val="DefaultParagraphFont"/>
    <w:link w:val="Heading1"/>
    <w:uiPriority w:val="9"/>
    <w:rsid w:val="00001169"/>
    <w:rPr>
      <w:rFonts w:ascii="LMRoman12" w:eastAsiaTheme="majorEastAsia" w:hAnsi="LMRoman12" w:cstheme="majorBidi"/>
      <w:b/>
      <w:spacing w:val="-16"/>
      <w:sz w:val="48"/>
      <w:szCs w:val="26"/>
      <w:lang w:val="en-US"/>
      <w14:ligatures w14:val="standardContextual"/>
    </w:rPr>
  </w:style>
  <w:style w:type="character" w:customStyle="1" w:styleId="Heading2Char">
    <w:name w:val="Heading 2 Char"/>
    <w:basedOn w:val="DefaultParagraphFont"/>
    <w:link w:val="Heading2"/>
    <w:uiPriority w:val="9"/>
    <w:rsid w:val="00001169"/>
    <w:rPr>
      <w:rFonts w:ascii="LMRoman12" w:eastAsiaTheme="majorEastAsia" w:hAnsi="LMRoman12" w:cstheme="majorBidi"/>
      <w:b/>
      <w:spacing w:val="-10"/>
      <w:sz w:val="30"/>
      <w:szCs w:val="26"/>
      <w:lang w:val="en-US"/>
      <w14:ligatures w14:val="standardContextual"/>
    </w:rPr>
  </w:style>
  <w:style w:type="character" w:customStyle="1" w:styleId="Heading3Char">
    <w:name w:val="Heading 3 Char"/>
    <w:basedOn w:val="DefaultParagraphFont"/>
    <w:link w:val="Heading3"/>
    <w:uiPriority w:val="9"/>
    <w:rsid w:val="00001169"/>
    <w:rPr>
      <w:rFonts w:ascii="LMRoman12" w:eastAsiaTheme="majorEastAsia" w:hAnsi="LMRoman12" w:cstheme="majorBidi"/>
      <w:b/>
      <w:iCs/>
      <w:spacing w:val="-10"/>
      <w:sz w:val="26"/>
      <w:szCs w:val="26"/>
      <w:lang w:val="en-US"/>
      <w14:ligatures w14:val="standardContextual"/>
    </w:rPr>
  </w:style>
  <w:style w:type="character" w:customStyle="1" w:styleId="Heading4Char">
    <w:name w:val="Heading 4 Char"/>
    <w:basedOn w:val="DefaultParagraphFont"/>
    <w:link w:val="Heading4"/>
    <w:uiPriority w:val="9"/>
    <w:rsid w:val="00001169"/>
    <w:rPr>
      <w:rFonts w:ascii="LMRoman12" w:eastAsiaTheme="majorEastAsia" w:hAnsi="LMRoman12" w:cstheme="majorBidi"/>
      <w:b/>
      <w:bCs/>
      <w:spacing w:val="-10"/>
      <w:szCs w:val="26"/>
      <w:lang w:val="en-US"/>
      <w14:ligatures w14:val="standardContextual"/>
    </w:rPr>
  </w:style>
  <w:style w:type="character" w:customStyle="1" w:styleId="Heading5Char">
    <w:name w:val="Heading 5 Char"/>
    <w:basedOn w:val="DefaultParagraphFont"/>
    <w:link w:val="Heading5"/>
    <w:uiPriority w:val="9"/>
    <w:rsid w:val="00001169"/>
    <w:rPr>
      <w:rFonts w:ascii="LMRoman12" w:hAnsi="LMRoman12"/>
      <w:b/>
      <w:spacing w:val="-10"/>
      <w:lang w:val="en-US"/>
      <w14:ligatures w14:val="standardContextual"/>
    </w:rPr>
  </w:style>
  <w:style w:type="character" w:customStyle="1" w:styleId="Heading6Char">
    <w:name w:val="Heading 6 Char"/>
    <w:basedOn w:val="DefaultParagraphFont"/>
    <w:link w:val="Heading6"/>
    <w:uiPriority w:val="9"/>
    <w:rsid w:val="00001169"/>
    <w:rPr>
      <w:rFonts w:ascii="LMRoman12" w:eastAsiaTheme="majorEastAsia" w:hAnsi="LMRoman12" w:cstheme="majorBidi"/>
      <w:b/>
      <w:bCs/>
      <w:spacing w:val="-10"/>
      <w:szCs w:val="26"/>
      <w:lang w:val="en-US"/>
      <w14:ligatures w14:val="standardContextual"/>
    </w:rPr>
  </w:style>
  <w:style w:type="character" w:customStyle="1" w:styleId="Heading7Char">
    <w:name w:val="Heading 7 Char"/>
    <w:aliases w:val="Appendix 1 Char"/>
    <w:basedOn w:val="DefaultParagraphFont"/>
    <w:link w:val="Heading7"/>
    <w:uiPriority w:val="9"/>
    <w:rsid w:val="00001169"/>
    <w:rPr>
      <w:rFonts w:ascii="LMRoman12" w:eastAsiaTheme="majorEastAsia" w:hAnsi="LMRoman12" w:cstheme="majorBidi"/>
      <w:b/>
      <w:spacing w:val="-16"/>
      <w:sz w:val="48"/>
      <w:szCs w:val="26"/>
      <w:lang w:val="en-US"/>
      <w14:ligatures w14:val="standardContextual"/>
    </w:rPr>
  </w:style>
  <w:style w:type="character" w:customStyle="1" w:styleId="Heading8Char">
    <w:name w:val="Heading 8 Char"/>
    <w:basedOn w:val="DefaultParagraphFont"/>
    <w:link w:val="Heading8"/>
    <w:uiPriority w:val="9"/>
    <w:rsid w:val="00001169"/>
    <w:rPr>
      <w:rFonts w:ascii="LMRoman12" w:hAnsi="LMRoman12"/>
      <w:b/>
      <w:spacing w:val="-10"/>
      <w:lang w:val="en-US"/>
      <w14:ligatures w14:val="standardContextual"/>
    </w:rPr>
  </w:style>
  <w:style w:type="character" w:customStyle="1" w:styleId="Heading9Char">
    <w:name w:val="Heading 9 Char"/>
    <w:basedOn w:val="DefaultParagraphFont"/>
    <w:link w:val="Heading9"/>
    <w:uiPriority w:val="9"/>
    <w:rsid w:val="00001169"/>
    <w:rPr>
      <w:rFonts w:ascii="LMRoman12" w:eastAsiaTheme="majorEastAsia" w:hAnsi="LMRoman12" w:cstheme="majorBidi"/>
      <w:b/>
      <w:bCs/>
      <w:spacing w:val="-10"/>
      <w:szCs w:val="26"/>
      <w:lang w:val="en-US"/>
      <w14:ligatures w14:val="standardContextual"/>
    </w:rPr>
  </w:style>
  <w:style w:type="character" w:styleId="SubtleReference">
    <w:name w:val="Subtle Reference"/>
    <w:basedOn w:val="DefaultParagraphFont"/>
    <w:uiPriority w:val="31"/>
    <w:qFormat/>
    <w:rsid w:val="00001169"/>
    <w:rPr>
      <w:smallCaps/>
      <w:color w:val="C0504D" w:themeColor="accent2"/>
      <w:u w:val="single"/>
    </w:rPr>
  </w:style>
  <w:style w:type="paragraph" w:styleId="Subtitle">
    <w:name w:val="Subtitle"/>
    <w:basedOn w:val="Normal"/>
    <w:next w:val="Normal"/>
    <w:link w:val="SubtitleChar"/>
    <w:uiPriority w:val="11"/>
    <w:qFormat/>
    <w:rsid w:val="00001169"/>
    <w:pPr>
      <w:numPr>
        <w:ilvl w:val="1"/>
      </w:numPr>
      <w:spacing w:after="0" w:line="240" w:lineRule="auto"/>
      <w:jc w:val="both"/>
    </w:pPr>
    <w:rPr>
      <w:rFonts w:asciiTheme="majorHAnsi" w:eastAsiaTheme="majorEastAsia" w:hAnsiTheme="majorHAnsi" w:cstheme="majorBidi"/>
      <w:i/>
      <w:iCs/>
      <w:color w:val="4F81BD" w:themeColor="accent1"/>
      <w:spacing w:val="15"/>
      <w:szCs w:val="24"/>
      <w:lang w:val="en-US"/>
      <w14:ligatures w14:val="standardContextual"/>
    </w:rPr>
  </w:style>
  <w:style w:type="character" w:customStyle="1" w:styleId="SubtitleChar">
    <w:name w:val="Subtitle Char"/>
    <w:basedOn w:val="DefaultParagraphFont"/>
    <w:link w:val="Subtitle"/>
    <w:uiPriority w:val="11"/>
    <w:rsid w:val="00001169"/>
    <w:rPr>
      <w:rFonts w:asciiTheme="majorHAnsi" w:eastAsiaTheme="majorEastAsia" w:hAnsiTheme="majorHAnsi" w:cstheme="majorBidi"/>
      <w:i/>
      <w:iCs/>
      <w:color w:val="4F81BD" w:themeColor="accent1"/>
      <w:spacing w:val="15"/>
      <w:szCs w:val="24"/>
      <w:lang w:val="en-US"/>
      <w14:ligatures w14:val="standardContextual"/>
    </w:rPr>
  </w:style>
  <w:style w:type="paragraph" w:styleId="IntenseQuote">
    <w:name w:val="Intense Quote"/>
    <w:basedOn w:val="Normal"/>
    <w:next w:val="Normal"/>
    <w:link w:val="IntenseQuoteChar"/>
    <w:uiPriority w:val="30"/>
    <w:qFormat/>
    <w:rsid w:val="00001169"/>
    <w:pPr>
      <w:pBdr>
        <w:bottom w:val="single" w:sz="4" w:space="4" w:color="4F81BD" w:themeColor="accent1"/>
      </w:pBdr>
      <w:spacing w:before="200" w:after="280" w:line="240" w:lineRule="auto"/>
      <w:ind w:left="936" w:right="936"/>
      <w:jc w:val="both"/>
    </w:pPr>
    <w:rPr>
      <w:rFonts w:ascii="LMRoman12" w:hAnsi="LMRoman12"/>
      <w:b/>
      <w:bCs/>
      <w:i/>
      <w:iCs/>
      <w:color w:val="4F81BD" w:themeColor="accent1"/>
      <w:lang w:val="en-US"/>
      <w14:ligatures w14:val="standardContextual"/>
    </w:rPr>
  </w:style>
  <w:style w:type="character" w:customStyle="1" w:styleId="IntenseQuoteChar">
    <w:name w:val="Intense Quote Char"/>
    <w:basedOn w:val="DefaultParagraphFont"/>
    <w:link w:val="IntenseQuote"/>
    <w:uiPriority w:val="30"/>
    <w:rsid w:val="00001169"/>
    <w:rPr>
      <w:rFonts w:ascii="LMRoman12" w:hAnsi="LMRoman12"/>
      <w:b/>
      <w:bCs/>
      <w:i/>
      <w:iCs/>
      <w:color w:val="4F81BD" w:themeColor="accent1"/>
      <w:lang w:val="en-US"/>
      <w14:ligatures w14:val="standardContextual"/>
    </w:rPr>
  </w:style>
  <w:style w:type="character" w:styleId="PlaceholderText">
    <w:name w:val="Placeholder Text"/>
    <w:basedOn w:val="DefaultParagraphFont"/>
    <w:uiPriority w:val="99"/>
    <w:semiHidden/>
    <w:rsid w:val="00001169"/>
    <w:rPr>
      <w:color w:val="808080"/>
    </w:rPr>
  </w:style>
  <w:style w:type="paragraph" w:customStyle="1" w:styleId="BulletPre">
    <w:name w:val="Bullet Pre"/>
    <w:basedOn w:val="Paragraph-First"/>
    <w:qFormat/>
    <w:rsid w:val="00001169"/>
    <w:pPr>
      <w:spacing w:before="180" w:after="180"/>
    </w:pPr>
  </w:style>
  <w:style w:type="paragraph" w:customStyle="1" w:styleId="Dash">
    <w:name w:val="Dash"/>
    <w:basedOn w:val="Paragraph-First"/>
    <w:qFormat/>
    <w:rsid w:val="00001169"/>
    <w:pPr>
      <w:numPr>
        <w:numId w:val="3"/>
      </w:numPr>
      <w:tabs>
        <w:tab w:val="right" w:pos="1021"/>
      </w:tabs>
      <w:spacing w:before="80" w:after="80"/>
      <w:ind w:left="1021" w:hanging="227"/>
    </w:pPr>
  </w:style>
  <w:style w:type="paragraph" w:styleId="Header">
    <w:name w:val="header"/>
    <w:basedOn w:val="Normal"/>
    <w:link w:val="HeaderChar"/>
    <w:uiPriority w:val="99"/>
    <w:unhideWhenUsed/>
    <w:rsid w:val="00001169"/>
    <w:pPr>
      <w:tabs>
        <w:tab w:val="center" w:pos="4536"/>
        <w:tab w:val="right" w:pos="9072"/>
      </w:tabs>
      <w:spacing w:after="0" w:line="240" w:lineRule="auto"/>
      <w:jc w:val="both"/>
    </w:pPr>
    <w:rPr>
      <w:rFonts w:ascii="LMRoman12" w:hAnsi="LMRoman12"/>
      <w:spacing w:val="2"/>
      <w:sz w:val="20"/>
      <w:lang w:val="en-US"/>
      <w14:ligatures w14:val="standardContextual"/>
    </w:rPr>
  </w:style>
  <w:style w:type="character" w:customStyle="1" w:styleId="HeaderChar">
    <w:name w:val="Header Char"/>
    <w:basedOn w:val="DefaultParagraphFont"/>
    <w:link w:val="Header"/>
    <w:uiPriority w:val="99"/>
    <w:rsid w:val="00001169"/>
    <w:rPr>
      <w:rFonts w:ascii="LMRoman12" w:hAnsi="LMRoman12"/>
      <w:spacing w:val="2"/>
      <w:sz w:val="20"/>
      <w:lang w:val="en-US"/>
      <w14:ligatures w14:val="standardContextual"/>
    </w:rPr>
  </w:style>
  <w:style w:type="paragraph" w:styleId="Footer">
    <w:name w:val="footer"/>
    <w:basedOn w:val="Normal"/>
    <w:link w:val="FooterChar"/>
    <w:uiPriority w:val="99"/>
    <w:unhideWhenUsed/>
    <w:rsid w:val="00001169"/>
    <w:pPr>
      <w:tabs>
        <w:tab w:val="center" w:pos="4536"/>
        <w:tab w:val="right" w:pos="9072"/>
      </w:tabs>
      <w:spacing w:after="0" w:line="240" w:lineRule="auto"/>
      <w:jc w:val="both"/>
    </w:pPr>
    <w:rPr>
      <w:rFonts w:ascii="LMRoman12" w:hAnsi="LMRoman12"/>
      <w:lang w:val="en-US"/>
      <w14:ligatures w14:val="standardContextual"/>
    </w:rPr>
  </w:style>
  <w:style w:type="character" w:customStyle="1" w:styleId="FooterChar">
    <w:name w:val="Footer Char"/>
    <w:basedOn w:val="DefaultParagraphFont"/>
    <w:link w:val="Footer"/>
    <w:uiPriority w:val="99"/>
    <w:rsid w:val="00001169"/>
    <w:rPr>
      <w:rFonts w:ascii="LMRoman12" w:hAnsi="LMRoman12"/>
      <w:lang w:val="en-US"/>
      <w14:ligatures w14:val="standardContextual"/>
    </w:rPr>
  </w:style>
  <w:style w:type="paragraph" w:customStyle="1" w:styleId="Table">
    <w:name w:val="Table"/>
    <w:basedOn w:val="Normal"/>
    <w:qFormat/>
    <w:rsid w:val="00001169"/>
    <w:pPr>
      <w:spacing w:after="0" w:line="240" w:lineRule="auto"/>
      <w:jc w:val="both"/>
    </w:pPr>
    <w:rPr>
      <w:rFonts w:ascii="LMRoman12" w:hAnsi="LMRoman12"/>
      <w:lang w:val="en-US"/>
      <w14:ligatures w14:val="standardContextual"/>
    </w:rPr>
  </w:style>
  <w:style w:type="paragraph" w:styleId="TOCHeading">
    <w:name w:val="TOC Heading"/>
    <w:basedOn w:val="Heading1"/>
    <w:next w:val="Normal"/>
    <w:uiPriority w:val="39"/>
    <w:unhideWhenUsed/>
    <w:qFormat/>
    <w:rsid w:val="00001169"/>
    <w:pPr>
      <w:spacing w:before="480" w:after="0" w:line="276" w:lineRule="auto"/>
      <w:outlineLvl w:val="9"/>
    </w:pPr>
    <w:rPr>
      <w:rFonts w:asciiTheme="majorHAnsi" w:hAnsiTheme="majorHAnsi"/>
      <w:sz w:val="28"/>
      <w:lang w:eastAsia="ja-JP"/>
    </w:rPr>
  </w:style>
  <w:style w:type="paragraph" w:styleId="TOC2">
    <w:name w:val="toc 2"/>
    <w:basedOn w:val="TOCPre"/>
    <w:next w:val="Normal"/>
    <w:autoRedefine/>
    <w:uiPriority w:val="39"/>
    <w:unhideWhenUsed/>
    <w:qFormat/>
    <w:rsid w:val="00001169"/>
    <w:pPr>
      <w:tabs>
        <w:tab w:val="right" w:leader="dot" w:pos="8493"/>
      </w:tabs>
      <w:ind w:left="822" w:hanging="499"/>
      <w:jc w:val="left"/>
    </w:pPr>
    <w:rPr>
      <w:bCs/>
      <w:szCs w:val="20"/>
    </w:rPr>
  </w:style>
  <w:style w:type="paragraph" w:styleId="TOC1">
    <w:name w:val="toc 1"/>
    <w:basedOn w:val="TOCPre"/>
    <w:next w:val="Normal"/>
    <w:autoRedefine/>
    <w:uiPriority w:val="39"/>
    <w:unhideWhenUsed/>
    <w:qFormat/>
    <w:rsid w:val="00001169"/>
    <w:pPr>
      <w:tabs>
        <w:tab w:val="right" w:pos="8493"/>
      </w:tabs>
      <w:spacing w:before="220" w:line="204" w:lineRule="auto"/>
      <w:ind w:left="323" w:hanging="323"/>
      <w:jc w:val="left"/>
    </w:pPr>
    <w:rPr>
      <w:b/>
      <w:bCs/>
      <w:szCs w:val="24"/>
    </w:rPr>
  </w:style>
  <w:style w:type="paragraph" w:styleId="TOC3">
    <w:name w:val="toc 3"/>
    <w:basedOn w:val="TOCPre"/>
    <w:next w:val="Normal"/>
    <w:autoRedefine/>
    <w:uiPriority w:val="39"/>
    <w:unhideWhenUsed/>
    <w:qFormat/>
    <w:rsid w:val="00001169"/>
    <w:pPr>
      <w:tabs>
        <w:tab w:val="right" w:leader="dot" w:pos="8494"/>
      </w:tabs>
      <w:ind w:left="1514" w:hanging="692"/>
      <w:jc w:val="left"/>
    </w:pPr>
    <w:rPr>
      <w:szCs w:val="20"/>
    </w:rPr>
  </w:style>
  <w:style w:type="paragraph" w:styleId="TOC4">
    <w:name w:val="toc 4"/>
    <w:basedOn w:val="TOCPre"/>
    <w:next w:val="Normal"/>
    <w:autoRedefine/>
    <w:uiPriority w:val="39"/>
    <w:unhideWhenUsed/>
    <w:rsid w:val="00001169"/>
    <w:pPr>
      <w:tabs>
        <w:tab w:val="right" w:leader="dot" w:pos="8494"/>
      </w:tabs>
      <w:ind w:left="2410" w:hanging="896"/>
      <w:jc w:val="left"/>
    </w:pPr>
  </w:style>
  <w:style w:type="paragraph" w:styleId="TOC5">
    <w:name w:val="toc 5"/>
    <w:basedOn w:val="TOCPre"/>
    <w:next w:val="Normal"/>
    <w:autoRedefine/>
    <w:uiPriority w:val="39"/>
    <w:unhideWhenUsed/>
    <w:rsid w:val="00001169"/>
    <w:pPr>
      <w:tabs>
        <w:tab w:val="right" w:leader="dot" w:pos="8494"/>
      </w:tabs>
      <w:ind w:left="3255" w:hanging="1083"/>
      <w:jc w:val="left"/>
    </w:pPr>
    <w:rPr>
      <w:szCs w:val="20"/>
    </w:rPr>
  </w:style>
  <w:style w:type="paragraph" w:styleId="TOC6">
    <w:name w:val="toc 6"/>
    <w:basedOn w:val="TOCPre"/>
    <w:next w:val="Normal"/>
    <w:autoRedefine/>
    <w:uiPriority w:val="39"/>
    <w:unhideWhenUsed/>
    <w:rsid w:val="00001169"/>
    <w:pPr>
      <w:tabs>
        <w:tab w:val="right" w:leader="dot" w:pos="8493"/>
      </w:tabs>
      <w:ind w:left="3918" w:hanging="1315"/>
      <w:jc w:val="left"/>
    </w:pPr>
    <w:rPr>
      <w:szCs w:val="20"/>
    </w:rPr>
  </w:style>
  <w:style w:type="paragraph" w:styleId="TOC7">
    <w:name w:val="toc 7"/>
    <w:basedOn w:val="TOCPre"/>
    <w:next w:val="Normal"/>
    <w:autoRedefine/>
    <w:uiPriority w:val="39"/>
    <w:unhideWhenUsed/>
    <w:rsid w:val="00001169"/>
    <w:pPr>
      <w:tabs>
        <w:tab w:val="right" w:pos="8493"/>
      </w:tabs>
      <w:spacing w:before="220" w:line="204" w:lineRule="auto"/>
      <w:jc w:val="left"/>
    </w:pPr>
    <w:rPr>
      <w:b/>
      <w:szCs w:val="20"/>
    </w:rPr>
  </w:style>
  <w:style w:type="paragraph" w:styleId="TOC8">
    <w:name w:val="toc 8"/>
    <w:basedOn w:val="TOCPre"/>
    <w:next w:val="Normal"/>
    <w:autoRedefine/>
    <w:uiPriority w:val="39"/>
    <w:unhideWhenUsed/>
    <w:rsid w:val="00001169"/>
    <w:pPr>
      <w:spacing w:before="220" w:line="204" w:lineRule="auto"/>
      <w:ind w:left="1474" w:hanging="1474"/>
      <w:jc w:val="left"/>
    </w:pPr>
    <w:rPr>
      <w:b/>
      <w:szCs w:val="20"/>
    </w:rPr>
  </w:style>
  <w:style w:type="paragraph" w:styleId="TOC9">
    <w:name w:val="toc 9"/>
    <w:basedOn w:val="Normal"/>
    <w:next w:val="Normal"/>
    <w:autoRedefine/>
    <w:uiPriority w:val="39"/>
    <w:unhideWhenUsed/>
    <w:rsid w:val="00001169"/>
    <w:pPr>
      <w:spacing w:after="0" w:line="240" w:lineRule="auto"/>
      <w:ind w:left="1540"/>
    </w:pPr>
    <w:rPr>
      <w:sz w:val="20"/>
      <w:szCs w:val="20"/>
      <w:lang w:val="en-US"/>
      <w14:ligatures w14:val="standardContextual"/>
    </w:rPr>
  </w:style>
  <w:style w:type="paragraph" w:customStyle="1" w:styleId="Definition">
    <w:name w:val="Definition"/>
    <w:basedOn w:val="DefinitionTheoremProofPre"/>
    <w:next w:val="Paragraph-Next"/>
    <w:qFormat/>
    <w:rsid w:val="00001169"/>
    <w:pPr>
      <w:spacing w:before="114"/>
    </w:pPr>
  </w:style>
  <w:style w:type="paragraph" w:customStyle="1" w:styleId="Appendix2">
    <w:name w:val="Appendix 2"/>
    <w:basedOn w:val="Heading2"/>
    <w:next w:val="Paragraph-First"/>
    <w:qFormat/>
    <w:rsid w:val="00001169"/>
    <w:pPr>
      <w:numPr>
        <w:numId w:val="5"/>
      </w:numPr>
    </w:pPr>
  </w:style>
  <w:style w:type="paragraph" w:customStyle="1" w:styleId="Appendix3">
    <w:name w:val="Appendix 3"/>
    <w:basedOn w:val="Heading3"/>
    <w:next w:val="Paragraph-First"/>
    <w:qFormat/>
    <w:rsid w:val="00001169"/>
    <w:pPr>
      <w:numPr>
        <w:numId w:val="5"/>
      </w:numPr>
    </w:pPr>
  </w:style>
  <w:style w:type="paragraph" w:customStyle="1" w:styleId="Appendix4">
    <w:name w:val="Appendix 4"/>
    <w:basedOn w:val="Heading4"/>
    <w:next w:val="Paragraph-First"/>
    <w:qFormat/>
    <w:rsid w:val="00001169"/>
    <w:pPr>
      <w:numPr>
        <w:numId w:val="5"/>
      </w:numPr>
    </w:pPr>
  </w:style>
  <w:style w:type="paragraph" w:styleId="Index1">
    <w:name w:val="index 1"/>
    <w:basedOn w:val="Paragraph-First"/>
    <w:next w:val="Normal"/>
    <w:autoRedefine/>
    <w:uiPriority w:val="99"/>
    <w:unhideWhenUsed/>
    <w:rsid w:val="00001169"/>
    <w:pPr>
      <w:tabs>
        <w:tab w:val="right" w:leader="dot" w:pos="8493"/>
      </w:tabs>
    </w:pPr>
  </w:style>
  <w:style w:type="paragraph" w:styleId="Index2">
    <w:name w:val="index 2"/>
    <w:basedOn w:val="Paragraph-First"/>
    <w:next w:val="Normal"/>
    <w:autoRedefine/>
    <w:uiPriority w:val="99"/>
    <w:unhideWhenUsed/>
    <w:rsid w:val="00001169"/>
    <w:pPr>
      <w:tabs>
        <w:tab w:val="right" w:leader="dot" w:pos="8493"/>
      </w:tabs>
      <w:ind w:left="681" w:hanging="284"/>
    </w:pPr>
  </w:style>
  <w:style w:type="paragraph" w:styleId="TableofFigures">
    <w:name w:val="table of figures"/>
    <w:basedOn w:val="Normal"/>
    <w:next w:val="Normal"/>
    <w:link w:val="TableofFiguresChar"/>
    <w:uiPriority w:val="99"/>
    <w:unhideWhenUsed/>
    <w:rsid w:val="00001169"/>
    <w:pPr>
      <w:tabs>
        <w:tab w:val="left" w:pos="1134"/>
        <w:tab w:val="left" w:pos="1701"/>
        <w:tab w:val="left" w:pos="2268"/>
        <w:tab w:val="right" w:leader="dot" w:pos="8505"/>
      </w:tabs>
      <w:spacing w:after="0" w:line="209" w:lineRule="auto"/>
      <w:jc w:val="both"/>
    </w:pPr>
    <w:rPr>
      <w:rFonts w:ascii="LMRoman12" w:hAnsi="LMRoman12"/>
      <w:noProof/>
      <w:lang w:val="en-US"/>
      <w14:ligatures w14:val="standardContextual"/>
    </w:rPr>
  </w:style>
  <w:style w:type="paragraph" w:customStyle="1" w:styleId="Heading1-NoNum-NoTOC">
    <w:name w:val="Heading 1 - NoNum-NoTOC"/>
    <w:basedOn w:val="Heading1-NoNum"/>
    <w:next w:val="Paragraph-First"/>
    <w:qFormat/>
    <w:rsid w:val="00001169"/>
  </w:style>
  <w:style w:type="paragraph" w:customStyle="1" w:styleId="Heading1-Chapter">
    <w:name w:val="Heading 1 - Chapter"/>
    <w:basedOn w:val="Normal"/>
    <w:next w:val="Normal"/>
    <w:qFormat/>
    <w:rsid w:val="00001169"/>
    <w:pPr>
      <w:spacing w:before="1260" w:after="340" w:line="240" w:lineRule="auto"/>
      <w:jc w:val="both"/>
    </w:pPr>
    <w:rPr>
      <w:rFonts w:ascii="LMRoman12" w:hAnsi="LMRoman12"/>
      <w:b/>
      <w:spacing w:val="-16"/>
      <w:sz w:val="42"/>
      <w:szCs w:val="42"/>
      <w:lang w:val="en-US"/>
      <w14:ligatures w14:val="standardContextual"/>
    </w:rPr>
  </w:style>
  <w:style w:type="paragraph" w:customStyle="1" w:styleId="Paragraph-Next">
    <w:name w:val="Paragraph - Next"/>
    <w:basedOn w:val="Paragraph-First"/>
    <w:qFormat/>
    <w:rsid w:val="00001169"/>
    <w:pPr>
      <w:ind w:firstLine="323"/>
    </w:pPr>
  </w:style>
  <w:style w:type="paragraph" w:customStyle="1" w:styleId="HeadingPre">
    <w:name w:val="Heading Pre"/>
    <w:basedOn w:val="Normal"/>
    <w:qFormat/>
    <w:rsid w:val="00001169"/>
    <w:pPr>
      <w:keepNext/>
      <w:keepLines/>
      <w:spacing w:after="0" w:line="240" w:lineRule="auto"/>
      <w:jc w:val="both"/>
    </w:pPr>
    <w:rPr>
      <w:rFonts w:ascii="LMRoman12" w:hAnsi="LMRoman12"/>
      <w:spacing w:val="-10"/>
      <w:lang w:val="en-US"/>
      <w14:ligatures w14:val="standardContextual"/>
    </w:rPr>
  </w:style>
  <w:style w:type="paragraph" w:customStyle="1" w:styleId="Paragraph-First">
    <w:name w:val="Paragraph - First"/>
    <w:basedOn w:val="Normal"/>
    <w:next w:val="Paragraph-Next"/>
    <w:qFormat/>
    <w:rsid w:val="00001169"/>
    <w:pPr>
      <w:spacing w:after="0" w:line="209" w:lineRule="auto"/>
      <w:jc w:val="both"/>
    </w:pPr>
    <w:rPr>
      <w:rFonts w:ascii="LMRoman12" w:hAnsi="LMRoman12"/>
      <w:lang w:val="en-US"/>
      <w14:ligatures w14:val="standardContextual"/>
    </w:rPr>
  </w:style>
  <w:style w:type="character" w:customStyle="1" w:styleId="StyleFootnoteReferenceItalic">
    <w:name w:val="Style Footnote Reference + Italic"/>
    <w:basedOn w:val="FootnoteReference"/>
    <w:rsid w:val="00001169"/>
    <w:rPr>
      <w:i w:val="0"/>
      <w:iCs/>
      <w:spacing w:val="0"/>
      <w:w w:val="100"/>
      <w:vertAlign w:val="superscript"/>
    </w:rPr>
  </w:style>
  <w:style w:type="paragraph" w:styleId="EndnoteText">
    <w:name w:val="endnote text"/>
    <w:basedOn w:val="Normal"/>
    <w:link w:val="EndnoteTextChar"/>
    <w:uiPriority w:val="99"/>
    <w:semiHidden/>
    <w:unhideWhenUsed/>
    <w:rsid w:val="00001169"/>
    <w:pPr>
      <w:spacing w:after="0" w:line="240" w:lineRule="auto"/>
      <w:jc w:val="both"/>
    </w:pPr>
    <w:rPr>
      <w:rFonts w:ascii="LMRoman12" w:hAnsi="LMRoman12"/>
      <w:sz w:val="20"/>
      <w:szCs w:val="20"/>
      <w:lang w:val="en-US"/>
      <w14:ligatures w14:val="standardContextual"/>
    </w:rPr>
  </w:style>
  <w:style w:type="character" w:customStyle="1" w:styleId="EndnoteTextChar">
    <w:name w:val="Endnote Text Char"/>
    <w:basedOn w:val="DefaultParagraphFont"/>
    <w:link w:val="EndnoteText"/>
    <w:uiPriority w:val="99"/>
    <w:semiHidden/>
    <w:rsid w:val="00001169"/>
    <w:rPr>
      <w:rFonts w:ascii="LMRoman12" w:hAnsi="LMRoman12"/>
      <w:sz w:val="20"/>
      <w:szCs w:val="20"/>
      <w:lang w:val="en-US"/>
      <w14:ligatures w14:val="standardContextual"/>
    </w:rPr>
  </w:style>
  <w:style w:type="character" w:styleId="EndnoteReference">
    <w:name w:val="endnote reference"/>
    <w:basedOn w:val="DefaultParagraphFont"/>
    <w:uiPriority w:val="99"/>
    <w:semiHidden/>
    <w:unhideWhenUsed/>
    <w:rsid w:val="00001169"/>
    <w:rPr>
      <w:vertAlign w:val="superscript"/>
    </w:rPr>
  </w:style>
  <w:style w:type="paragraph" w:customStyle="1" w:styleId="Bullet1">
    <w:name w:val="Bullet 1"/>
    <w:basedOn w:val="BulletPre"/>
    <w:rsid w:val="00001169"/>
    <w:pPr>
      <w:numPr>
        <w:numId w:val="2"/>
      </w:numPr>
    </w:pPr>
  </w:style>
  <w:style w:type="paragraph" w:customStyle="1" w:styleId="Bullet2">
    <w:name w:val="Bullet 2"/>
    <w:basedOn w:val="BulletPre"/>
    <w:rsid w:val="00001169"/>
    <w:pPr>
      <w:numPr>
        <w:ilvl w:val="1"/>
        <w:numId w:val="2"/>
      </w:numPr>
      <w:spacing w:before="80" w:after="80"/>
    </w:pPr>
  </w:style>
  <w:style w:type="paragraph" w:customStyle="1" w:styleId="Bullet3">
    <w:name w:val="Bullet 3"/>
    <w:basedOn w:val="BulletPre"/>
    <w:rsid w:val="00001169"/>
    <w:pPr>
      <w:numPr>
        <w:ilvl w:val="2"/>
        <w:numId w:val="2"/>
      </w:numPr>
      <w:spacing w:before="40" w:after="40"/>
    </w:pPr>
  </w:style>
  <w:style w:type="paragraph" w:customStyle="1" w:styleId="FootnoteSeparator">
    <w:name w:val="Footnote Separator"/>
    <w:basedOn w:val="Normal"/>
    <w:next w:val="Normal"/>
    <w:qFormat/>
    <w:rsid w:val="00001169"/>
    <w:pPr>
      <w:spacing w:after="0" w:line="60" w:lineRule="exact"/>
      <w:jc w:val="both"/>
    </w:pPr>
    <w:rPr>
      <w:rFonts w:ascii="LMRoman12" w:hAnsi="LMRoman12"/>
      <w:sz w:val="4"/>
      <w:lang w:val="en-US"/>
      <w14:ligatures w14:val="standardContextual"/>
    </w:rPr>
  </w:style>
  <w:style w:type="paragraph" w:customStyle="1" w:styleId="Bullet1-NoBullet">
    <w:name w:val="Bullet 1 - NoBullet"/>
    <w:basedOn w:val="Bullet1"/>
    <w:qFormat/>
    <w:rsid w:val="00001169"/>
    <w:pPr>
      <w:numPr>
        <w:numId w:val="0"/>
      </w:numPr>
      <w:ind w:left="544"/>
    </w:pPr>
  </w:style>
  <w:style w:type="paragraph" w:customStyle="1" w:styleId="Bullet2-NoBullet">
    <w:name w:val="Bullet 2 - NoBullet"/>
    <w:basedOn w:val="Bullet2"/>
    <w:qFormat/>
    <w:rsid w:val="00001169"/>
    <w:pPr>
      <w:numPr>
        <w:ilvl w:val="0"/>
        <w:numId w:val="0"/>
      </w:numPr>
      <w:ind w:left="1021"/>
    </w:pPr>
  </w:style>
  <w:style w:type="paragraph" w:customStyle="1" w:styleId="Bullet3-NoBullet">
    <w:name w:val="Bullet 3 - NoBullet"/>
    <w:basedOn w:val="Bullet3"/>
    <w:qFormat/>
    <w:rsid w:val="00001169"/>
    <w:pPr>
      <w:numPr>
        <w:ilvl w:val="0"/>
        <w:numId w:val="0"/>
      </w:numPr>
      <w:ind w:left="1247"/>
    </w:pPr>
  </w:style>
  <w:style w:type="character" w:customStyle="1" w:styleId="Code">
    <w:name w:val="Code"/>
    <w:basedOn w:val="DefaultParagraphFont"/>
    <w:uiPriority w:val="1"/>
    <w:qFormat/>
    <w:rsid w:val="00001169"/>
    <w:rPr>
      <w:rFonts w:ascii="LMMono12" w:hAnsi="LMMono12"/>
      <w:sz w:val="22"/>
    </w:rPr>
  </w:style>
  <w:style w:type="paragraph" w:customStyle="1" w:styleId="Appendix5">
    <w:name w:val="Appendix 5"/>
    <w:basedOn w:val="Heading5"/>
    <w:next w:val="Paragraph-First"/>
    <w:qFormat/>
    <w:rsid w:val="00001169"/>
    <w:pPr>
      <w:numPr>
        <w:numId w:val="5"/>
      </w:numPr>
      <w:tabs>
        <w:tab w:val="left" w:pos="1151"/>
      </w:tabs>
    </w:pPr>
  </w:style>
  <w:style w:type="paragraph" w:customStyle="1" w:styleId="Appendix6">
    <w:name w:val="Appendix 6"/>
    <w:basedOn w:val="Heading6"/>
    <w:next w:val="Paragraph-First"/>
    <w:qFormat/>
    <w:rsid w:val="00001169"/>
    <w:pPr>
      <w:numPr>
        <w:numId w:val="5"/>
      </w:numPr>
    </w:pPr>
  </w:style>
  <w:style w:type="paragraph" w:customStyle="1" w:styleId="Appendix1-Appendix">
    <w:name w:val="Appendix 1 - Appendix"/>
    <w:basedOn w:val="Heading1-Chapter"/>
    <w:next w:val="Normal"/>
    <w:qFormat/>
    <w:rsid w:val="00001169"/>
    <w:pPr>
      <w:outlineLvl w:val="0"/>
    </w:pPr>
  </w:style>
  <w:style w:type="character" w:customStyle="1" w:styleId="Word-ManualCharacterStyleExample">
    <w:name w:val="Word - Manual Character Style Example"/>
    <w:basedOn w:val="DefaultParagraphFont"/>
    <w:uiPriority w:val="1"/>
    <w:qFormat/>
    <w:rsid w:val="00001169"/>
    <w:rPr>
      <w:rFonts w:asciiTheme="majorHAnsi" w:hAnsiTheme="majorHAnsi" w:cs="Courier New"/>
    </w:rPr>
  </w:style>
  <w:style w:type="paragraph" w:customStyle="1" w:styleId="TitleFront-Title">
    <w:name w:val="TitleFront - Title"/>
    <w:basedOn w:val="Paragraph-First"/>
    <w:qFormat/>
    <w:rsid w:val="00001169"/>
    <w:pPr>
      <w:jc w:val="right"/>
    </w:pPr>
    <w:rPr>
      <w:sz w:val="39"/>
      <w:szCs w:val="39"/>
    </w:rPr>
  </w:style>
  <w:style w:type="paragraph" w:customStyle="1" w:styleId="TitleFront-Name">
    <w:name w:val="TitleFront - Name"/>
    <w:basedOn w:val="Paragraph-First"/>
    <w:qFormat/>
    <w:rsid w:val="00001169"/>
    <w:pPr>
      <w:jc w:val="right"/>
    </w:pPr>
    <w:rPr>
      <w:sz w:val="33"/>
      <w:szCs w:val="33"/>
    </w:rPr>
  </w:style>
  <w:style w:type="paragraph" w:customStyle="1" w:styleId="TitleBack">
    <w:name w:val="TitleBack"/>
    <w:basedOn w:val="TitleFront-Title"/>
    <w:qFormat/>
    <w:rsid w:val="00001169"/>
    <w:pPr>
      <w:jc w:val="left"/>
    </w:pPr>
    <w:rPr>
      <w:sz w:val="22"/>
      <w:szCs w:val="22"/>
    </w:rPr>
  </w:style>
  <w:style w:type="character" w:customStyle="1" w:styleId="Title-Emphasis">
    <w:name w:val="Title - Emphasis"/>
    <w:basedOn w:val="DefaultParagraphFont"/>
    <w:uiPriority w:val="1"/>
    <w:qFormat/>
    <w:rsid w:val="00001169"/>
    <w:rPr>
      <w:b/>
    </w:rPr>
  </w:style>
  <w:style w:type="paragraph" w:customStyle="1" w:styleId="TitlePage-Title">
    <w:name w:val="TitlePage - Title"/>
    <w:basedOn w:val="Paragraph-First"/>
    <w:qFormat/>
    <w:rsid w:val="00001169"/>
    <w:rPr>
      <w:sz w:val="33"/>
      <w:szCs w:val="33"/>
    </w:rPr>
  </w:style>
  <w:style w:type="paragraph" w:customStyle="1" w:styleId="TitlePage-Dissertation">
    <w:name w:val="TitlePage - Dissertation"/>
    <w:basedOn w:val="Paragraph-First"/>
    <w:qFormat/>
    <w:rsid w:val="00001169"/>
    <w:rPr>
      <w:sz w:val="28"/>
    </w:rPr>
  </w:style>
  <w:style w:type="paragraph" w:customStyle="1" w:styleId="TitlePage-Supervisor">
    <w:name w:val="TitlePage - Supervisor"/>
    <w:basedOn w:val="Normal"/>
    <w:qFormat/>
    <w:rsid w:val="00001169"/>
    <w:pPr>
      <w:spacing w:after="0" w:line="240" w:lineRule="auto"/>
      <w:jc w:val="both"/>
    </w:pPr>
    <w:rPr>
      <w:rFonts w:ascii="LMRoman12" w:hAnsi="LMRoman12"/>
      <w:sz w:val="24"/>
      <w:lang w:val="en-US"/>
      <w14:ligatures w14:val="standardContextual"/>
    </w:rPr>
  </w:style>
  <w:style w:type="paragraph" w:customStyle="1" w:styleId="Dedication">
    <w:name w:val="Dedication"/>
    <w:basedOn w:val="Paragraph-First"/>
    <w:qFormat/>
    <w:rsid w:val="00001169"/>
    <w:pPr>
      <w:spacing w:before="2260"/>
      <w:jc w:val="center"/>
    </w:pPr>
    <w:rPr>
      <w:i/>
      <w:sz w:val="28"/>
      <w:szCs w:val="30"/>
    </w:rPr>
  </w:style>
  <w:style w:type="paragraph" w:customStyle="1" w:styleId="TOCPre">
    <w:name w:val="TOC Pre"/>
    <w:basedOn w:val="Normal"/>
    <w:qFormat/>
    <w:rsid w:val="00001169"/>
    <w:pPr>
      <w:spacing w:after="0" w:line="210" w:lineRule="auto"/>
      <w:jc w:val="both"/>
    </w:pPr>
    <w:rPr>
      <w:rFonts w:ascii="LMRoman12" w:hAnsi="LMRoman12"/>
      <w:noProof/>
      <w:lang w:val="en-US"/>
      <w14:ligatures w14:val="standardContextual"/>
    </w:rPr>
  </w:style>
  <w:style w:type="paragraph" w:customStyle="1" w:styleId="Equation">
    <w:name w:val="Equation"/>
    <w:basedOn w:val="Paragraph-First"/>
    <w:qFormat/>
    <w:rsid w:val="00001169"/>
    <w:pPr>
      <w:tabs>
        <w:tab w:val="center" w:pos="4253"/>
        <w:tab w:val="right" w:pos="8494"/>
      </w:tabs>
      <w:spacing w:before="220" w:after="220" w:line="240" w:lineRule="auto"/>
    </w:pPr>
    <w:rPr>
      <w:rFonts w:ascii="LMMath" w:hAnsi="LMMath"/>
      <w:spacing w:val="2"/>
    </w:rPr>
  </w:style>
  <w:style w:type="character" w:customStyle="1" w:styleId="Numbering-Equation">
    <w:name w:val="Numbering -  Equation"/>
    <w:basedOn w:val="DefaultParagraphFont"/>
    <w:uiPriority w:val="1"/>
    <w:qFormat/>
    <w:rsid w:val="00001169"/>
  </w:style>
  <w:style w:type="character" w:customStyle="1" w:styleId="Definition-Head">
    <w:name w:val="Definition - Head"/>
    <w:basedOn w:val="DefaultParagraphFont"/>
    <w:uiPriority w:val="1"/>
    <w:qFormat/>
    <w:rsid w:val="00001169"/>
    <w:rPr>
      <w:b/>
    </w:rPr>
  </w:style>
  <w:style w:type="paragraph" w:customStyle="1" w:styleId="Theorem">
    <w:name w:val="Theorem"/>
    <w:basedOn w:val="DefinitionTheoremProofPre"/>
    <w:next w:val="Paragraph-Next"/>
    <w:qFormat/>
    <w:rsid w:val="00001169"/>
  </w:style>
  <w:style w:type="character" w:customStyle="1" w:styleId="Theorem-Head">
    <w:name w:val="Theorem - Head"/>
    <w:basedOn w:val="DefaultParagraphFont"/>
    <w:uiPriority w:val="1"/>
    <w:qFormat/>
    <w:rsid w:val="00001169"/>
    <w:rPr>
      <w:b/>
    </w:rPr>
  </w:style>
  <w:style w:type="paragraph" w:customStyle="1" w:styleId="DefinitionTheoremProofPre">
    <w:name w:val="DefinitionTheoremProof Pre"/>
    <w:basedOn w:val="Paragraph-First"/>
    <w:qFormat/>
    <w:rsid w:val="00001169"/>
    <w:pPr>
      <w:spacing w:before="180"/>
    </w:pPr>
  </w:style>
  <w:style w:type="paragraph" w:customStyle="1" w:styleId="Caption-FigureCentered">
    <w:name w:val="Caption - Figure Centered"/>
    <w:basedOn w:val="Paragraph-First"/>
    <w:next w:val="Paragraph-Next"/>
    <w:qFormat/>
    <w:rsid w:val="00001169"/>
    <w:pPr>
      <w:tabs>
        <w:tab w:val="left" w:pos="1106"/>
        <w:tab w:val="left" w:pos="1219"/>
      </w:tabs>
      <w:spacing w:before="180" w:after="360"/>
      <w:jc w:val="center"/>
    </w:pPr>
    <w:rPr>
      <w:noProof/>
      <w:lang w:val="sl-SI" w:eastAsia="sl-SI"/>
    </w:rPr>
  </w:style>
  <w:style w:type="paragraph" w:customStyle="1" w:styleId="Caption-FigureMultipleLines">
    <w:name w:val="Caption - Figure MultipleLines"/>
    <w:basedOn w:val="Caption-FigureCentered"/>
    <w:next w:val="Paragraph-Next"/>
    <w:qFormat/>
    <w:rsid w:val="00001169"/>
    <w:pPr>
      <w:jc w:val="both"/>
    </w:pPr>
  </w:style>
  <w:style w:type="paragraph" w:customStyle="1" w:styleId="Image-Centered">
    <w:name w:val="Image - Centered"/>
    <w:basedOn w:val="Paragraph-First"/>
    <w:qFormat/>
    <w:rsid w:val="00001169"/>
    <w:pPr>
      <w:spacing w:before="180" w:after="180" w:line="240" w:lineRule="auto"/>
      <w:jc w:val="center"/>
    </w:pPr>
    <w:rPr>
      <w:noProof/>
      <w:lang w:val="sl-SI" w:eastAsia="sl-SI"/>
    </w:rPr>
  </w:style>
  <w:style w:type="character" w:customStyle="1" w:styleId="Proof-Head">
    <w:name w:val="Proof - Head"/>
    <w:basedOn w:val="DefaultParagraphFont"/>
    <w:uiPriority w:val="1"/>
    <w:qFormat/>
    <w:rsid w:val="00001169"/>
    <w:rPr>
      <w:i/>
    </w:rPr>
  </w:style>
  <w:style w:type="paragraph" w:customStyle="1" w:styleId="Proof">
    <w:name w:val="Proof"/>
    <w:basedOn w:val="DefinitionTheoremProofPre"/>
    <w:qFormat/>
    <w:rsid w:val="00001169"/>
  </w:style>
  <w:style w:type="character" w:customStyle="1" w:styleId="Theorem-Text">
    <w:name w:val="Theorem - Text"/>
    <w:basedOn w:val="DefaultParagraphFont"/>
    <w:uiPriority w:val="1"/>
    <w:qFormat/>
    <w:rsid w:val="00001169"/>
    <w:rPr>
      <w:i/>
    </w:rPr>
  </w:style>
  <w:style w:type="paragraph" w:customStyle="1" w:styleId="Equation-NarrowTop">
    <w:name w:val="Equation - NarrowTop"/>
    <w:basedOn w:val="Equation"/>
    <w:qFormat/>
    <w:rsid w:val="00001169"/>
    <w:pPr>
      <w:spacing w:before="0"/>
    </w:pPr>
    <w:rPr>
      <w:rFonts w:cs="SFTI1200"/>
      <w:i/>
    </w:rPr>
  </w:style>
  <w:style w:type="paragraph" w:customStyle="1" w:styleId="Equation-Narrow">
    <w:name w:val="Equation - Narrow"/>
    <w:basedOn w:val="Equation"/>
    <w:qFormat/>
    <w:rsid w:val="00001169"/>
    <w:pPr>
      <w:spacing w:before="0" w:after="0"/>
    </w:pPr>
    <w:rPr>
      <w:rFonts w:eastAsiaTheme="minorEastAsia"/>
    </w:rPr>
  </w:style>
  <w:style w:type="paragraph" w:customStyle="1" w:styleId="Caption-TableCentered">
    <w:name w:val="Caption - Table Centered"/>
    <w:basedOn w:val="Caption-FigureCentered"/>
    <w:qFormat/>
    <w:rsid w:val="00001169"/>
    <w:pPr>
      <w:spacing w:after="180"/>
    </w:pPr>
  </w:style>
  <w:style w:type="paragraph" w:customStyle="1" w:styleId="Algorithm">
    <w:name w:val="Algorithm"/>
    <w:basedOn w:val="Paragraph-First"/>
    <w:qFormat/>
    <w:rsid w:val="00001169"/>
    <w:pPr>
      <w:pBdr>
        <w:top w:val="single" w:sz="4" w:space="1" w:color="auto"/>
        <w:bottom w:val="single" w:sz="4" w:space="1" w:color="auto"/>
      </w:pBdr>
      <w:tabs>
        <w:tab w:val="left" w:pos="170"/>
        <w:tab w:val="left" w:pos="1843"/>
      </w:tabs>
    </w:pPr>
  </w:style>
  <w:style w:type="paragraph" w:customStyle="1" w:styleId="Algorithm-ClosingPar">
    <w:name w:val="Algorithm - ClosingPar"/>
    <w:basedOn w:val="Paragraph-First"/>
    <w:qFormat/>
    <w:rsid w:val="00001169"/>
    <w:pPr>
      <w:framePr w:hSpace="142" w:vSpace="180" w:wrap="around" w:vAnchor="text" w:hAnchor="text" w:y="1"/>
      <w:pBdr>
        <w:bottom w:val="single" w:sz="4" w:space="1" w:color="auto"/>
      </w:pBdr>
      <w:suppressOverlap/>
    </w:pPr>
    <w:rPr>
      <w:sz w:val="6"/>
    </w:rPr>
  </w:style>
  <w:style w:type="character" w:customStyle="1" w:styleId="Algorithm-Head">
    <w:name w:val="Algorithm - Head"/>
    <w:basedOn w:val="DefaultParagraphFont"/>
    <w:uiPriority w:val="1"/>
    <w:qFormat/>
    <w:rsid w:val="00001169"/>
    <w:rPr>
      <w:b/>
    </w:rPr>
  </w:style>
  <w:style w:type="paragraph" w:customStyle="1" w:styleId="Heading2-NoNum">
    <w:name w:val="Heading 2 - NoNum"/>
    <w:basedOn w:val="Heading2"/>
    <w:qFormat/>
    <w:rsid w:val="00001169"/>
    <w:pPr>
      <w:numPr>
        <w:ilvl w:val="0"/>
        <w:numId w:val="0"/>
      </w:numPr>
    </w:pPr>
  </w:style>
  <w:style w:type="paragraph" w:customStyle="1" w:styleId="Heading3-NoNum">
    <w:name w:val="Heading 3 - NoNum"/>
    <w:basedOn w:val="Heading3"/>
    <w:qFormat/>
    <w:rsid w:val="00001169"/>
    <w:pPr>
      <w:numPr>
        <w:ilvl w:val="0"/>
        <w:numId w:val="0"/>
      </w:numPr>
    </w:pPr>
  </w:style>
  <w:style w:type="paragraph" w:customStyle="1" w:styleId="Bibliography-Manual">
    <w:name w:val="Bibliography - Manual"/>
    <w:basedOn w:val="Paragraph-First"/>
    <w:qFormat/>
    <w:rsid w:val="00001169"/>
    <w:pPr>
      <w:ind w:left="527" w:hanging="527"/>
    </w:pPr>
    <w:rPr>
      <w:noProof/>
    </w:rPr>
  </w:style>
  <w:style w:type="character" w:customStyle="1" w:styleId="EquationInline">
    <w:name w:val="EquationInline"/>
    <w:basedOn w:val="DefaultParagraphFont"/>
    <w:uiPriority w:val="1"/>
    <w:qFormat/>
    <w:rsid w:val="00001169"/>
    <w:rPr>
      <w:rFonts w:ascii="LMMath" w:hAnsi="LMMath"/>
      <w:i w:val="0"/>
    </w:rPr>
  </w:style>
  <w:style w:type="character" w:customStyle="1" w:styleId="ListofElements-chapterbreak">
    <w:name w:val="List of Elements - chapter break"/>
    <w:basedOn w:val="DefaultParagraphFont"/>
    <w:uiPriority w:val="1"/>
    <w:qFormat/>
    <w:rsid w:val="00001169"/>
    <w:rPr>
      <w:sz w:val="15"/>
      <w:szCs w:val="15"/>
    </w:rPr>
  </w:style>
  <w:style w:type="paragraph" w:customStyle="1" w:styleId="ListofTables">
    <w:name w:val="List of Tables"/>
    <w:basedOn w:val="TableofFigures"/>
    <w:qFormat/>
    <w:rsid w:val="00001169"/>
    <w:pPr>
      <w:tabs>
        <w:tab w:val="clear" w:pos="1134"/>
        <w:tab w:val="clear" w:pos="1701"/>
        <w:tab w:val="clear" w:pos="2268"/>
        <w:tab w:val="left" w:pos="1162"/>
      </w:tabs>
    </w:pPr>
  </w:style>
  <w:style w:type="paragraph" w:customStyle="1" w:styleId="ListofFigures">
    <w:name w:val="List of Figures"/>
    <w:basedOn w:val="TableofFigures"/>
    <w:qFormat/>
    <w:rsid w:val="00001169"/>
    <w:pPr>
      <w:tabs>
        <w:tab w:val="clear" w:pos="1134"/>
        <w:tab w:val="clear" w:pos="1701"/>
        <w:tab w:val="clear" w:pos="2268"/>
        <w:tab w:val="left" w:pos="1247"/>
      </w:tabs>
    </w:pPr>
  </w:style>
  <w:style w:type="paragraph" w:customStyle="1" w:styleId="ListofAlgorithms">
    <w:name w:val="List of Algorithms"/>
    <w:basedOn w:val="TableofFigures"/>
    <w:link w:val="ListofAlgorithmsChar"/>
    <w:qFormat/>
    <w:rsid w:val="00001169"/>
    <w:pPr>
      <w:tabs>
        <w:tab w:val="clear" w:pos="1134"/>
        <w:tab w:val="clear" w:pos="1701"/>
        <w:tab w:val="clear" w:pos="2268"/>
        <w:tab w:val="left" w:pos="1616"/>
      </w:tabs>
    </w:pPr>
  </w:style>
  <w:style w:type="paragraph" w:customStyle="1" w:styleId="Table-SmallerText">
    <w:name w:val="Table - Smaller Text"/>
    <w:basedOn w:val="Table"/>
    <w:qFormat/>
    <w:rsid w:val="00001169"/>
    <w:pPr>
      <w:jc w:val="left"/>
    </w:pPr>
    <w:rPr>
      <w:sz w:val="20"/>
    </w:rPr>
  </w:style>
  <w:style w:type="character" w:customStyle="1" w:styleId="Code-Footnote">
    <w:name w:val="Code - Footnote"/>
    <w:basedOn w:val="Code"/>
    <w:uiPriority w:val="1"/>
    <w:qFormat/>
    <w:rsid w:val="00001169"/>
    <w:rPr>
      <w:rFonts w:ascii="LMMono12" w:hAnsi="LMMono12"/>
      <w:sz w:val="18"/>
    </w:rPr>
  </w:style>
  <w:style w:type="character" w:customStyle="1" w:styleId="Code-Strong">
    <w:name w:val="Code - Strong"/>
    <w:basedOn w:val="Code"/>
    <w:uiPriority w:val="1"/>
    <w:qFormat/>
    <w:rsid w:val="00001169"/>
    <w:rPr>
      <w:rFonts w:ascii="LMMono12" w:hAnsi="LMMono12"/>
      <w:b/>
      <w:sz w:val="22"/>
    </w:rPr>
  </w:style>
  <w:style w:type="character" w:styleId="Strong">
    <w:name w:val="Strong"/>
    <w:basedOn w:val="DefaultParagraphFont"/>
    <w:uiPriority w:val="22"/>
    <w:qFormat/>
    <w:rsid w:val="00001169"/>
    <w:rPr>
      <w:b/>
      <w:bCs/>
    </w:rPr>
  </w:style>
  <w:style w:type="character" w:styleId="SubtleEmphasis">
    <w:name w:val="Subtle Emphasis"/>
    <w:basedOn w:val="DefaultParagraphFont"/>
    <w:uiPriority w:val="19"/>
    <w:qFormat/>
    <w:rsid w:val="00001169"/>
    <w:rPr>
      <w:i/>
      <w:iCs/>
      <w:color w:val="404040" w:themeColor="text1" w:themeTint="BF"/>
    </w:rPr>
  </w:style>
  <w:style w:type="paragraph" w:customStyle="1" w:styleId="Algorithm-spacingbreak">
    <w:name w:val="Algorithm - spacing break"/>
    <w:basedOn w:val="Paragraph-Next"/>
    <w:qFormat/>
    <w:rsid w:val="00001169"/>
    <w:rPr>
      <w:sz w:val="6"/>
      <w:szCs w:val="4"/>
    </w:rPr>
  </w:style>
  <w:style w:type="paragraph" w:customStyle="1" w:styleId="Algorithm-FirstLevelCode">
    <w:name w:val="Algorithm - First Level Code"/>
    <w:basedOn w:val="Paragraph-First"/>
    <w:qFormat/>
    <w:rsid w:val="00001169"/>
    <w:pPr>
      <w:ind w:left="340"/>
    </w:pPr>
  </w:style>
  <w:style w:type="character" w:customStyle="1" w:styleId="Code-Slanted">
    <w:name w:val="Code - Slanted"/>
    <w:basedOn w:val="Code"/>
    <w:uiPriority w:val="1"/>
    <w:qFormat/>
    <w:rsid w:val="00001169"/>
    <w:rPr>
      <w:rFonts w:ascii="LMMono12" w:hAnsi="LMMono12"/>
      <w:i/>
      <w:sz w:val="22"/>
    </w:rPr>
  </w:style>
  <w:style w:type="paragraph" w:customStyle="1" w:styleId="PageBrake-Smallspaceoptimization">
    <w:name w:val="Page Brake - Small space optimization"/>
    <w:basedOn w:val="Paragraph-First"/>
    <w:qFormat/>
    <w:rsid w:val="00001169"/>
    <w:rPr>
      <w:sz w:val="8"/>
    </w:rPr>
  </w:style>
  <w:style w:type="paragraph" w:customStyle="1" w:styleId="Heading1-NoNum">
    <w:name w:val="Heading 1 - NoNum"/>
    <w:basedOn w:val="Normal"/>
    <w:next w:val="Paragraph-First"/>
    <w:link w:val="Heading1-NoNumChar"/>
    <w:qFormat/>
    <w:rsid w:val="00001169"/>
    <w:pPr>
      <w:keepNext/>
      <w:keepLines/>
      <w:spacing w:before="1260" w:after="720" w:line="240" w:lineRule="auto"/>
      <w:outlineLvl w:val="0"/>
    </w:pPr>
    <w:rPr>
      <w:rFonts w:ascii="LMRoman12" w:hAnsi="LMRoman12"/>
      <w:b/>
      <w:spacing w:val="-16"/>
      <w:sz w:val="48"/>
      <w:lang w:val="en-US"/>
      <w14:ligatures w14:val="standardContextual"/>
    </w:rPr>
  </w:style>
  <w:style w:type="character" w:customStyle="1" w:styleId="Heading1-NoNumChar">
    <w:name w:val="Heading 1 - NoNum Char"/>
    <w:basedOn w:val="DefaultParagraphFont"/>
    <w:link w:val="Heading1-NoNum"/>
    <w:rsid w:val="00001169"/>
    <w:rPr>
      <w:rFonts w:ascii="LMRoman12" w:hAnsi="LMRoman12"/>
      <w:b/>
      <w:spacing w:val="-16"/>
      <w:sz w:val="48"/>
      <w:lang w:val="en-US"/>
      <w14:ligatures w14:val="standardContextual"/>
    </w:rPr>
  </w:style>
  <w:style w:type="character" w:customStyle="1" w:styleId="TableofFiguresChar">
    <w:name w:val="Table of Figures Char"/>
    <w:basedOn w:val="DefaultParagraphFont"/>
    <w:link w:val="TableofFigures"/>
    <w:uiPriority w:val="99"/>
    <w:rsid w:val="00001169"/>
    <w:rPr>
      <w:rFonts w:ascii="LMRoman12" w:hAnsi="LMRoman12"/>
      <w:noProof/>
      <w:lang w:val="en-US"/>
      <w14:ligatures w14:val="standardContextual"/>
    </w:rPr>
  </w:style>
  <w:style w:type="paragraph" w:styleId="BlockText">
    <w:name w:val="Block Text"/>
    <w:basedOn w:val="Normal"/>
    <w:uiPriority w:val="99"/>
    <w:semiHidden/>
    <w:unhideWhenUsed/>
    <w:rsid w:val="00001169"/>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0" w:line="240" w:lineRule="auto"/>
      <w:ind w:left="1152" w:right="1152"/>
      <w:jc w:val="both"/>
    </w:pPr>
    <w:rPr>
      <w:rFonts w:eastAsiaTheme="minorEastAsia"/>
      <w:i/>
      <w:iCs/>
      <w:color w:val="4F81BD" w:themeColor="accent1"/>
      <w:lang w:val="en-US"/>
      <w14:ligatures w14:val="standardContextual"/>
    </w:rPr>
  </w:style>
  <w:style w:type="paragraph" w:styleId="BodyText">
    <w:name w:val="Body Text"/>
    <w:basedOn w:val="Normal"/>
    <w:link w:val="BodyTextChar"/>
    <w:uiPriority w:val="99"/>
    <w:semiHidden/>
    <w:unhideWhenUsed/>
    <w:rsid w:val="00001169"/>
    <w:pPr>
      <w:spacing w:after="120" w:line="240" w:lineRule="auto"/>
      <w:jc w:val="both"/>
    </w:pPr>
    <w:rPr>
      <w:rFonts w:ascii="LMRoman12" w:hAnsi="LMRoman12"/>
      <w:lang w:val="en-US"/>
      <w14:ligatures w14:val="standardContextual"/>
    </w:rPr>
  </w:style>
  <w:style w:type="character" w:customStyle="1" w:styleId="BodyTextChar">
    <w:name w:val="Body Text Char"/>
    <w:basedOn w:val="DefaultParagraphFont"/>
    <w:link w:val="BodyText"/>
    <w:uiPriority w:val="99"/>
    <w:semiHidden/>
    <w:rsid w:val="00001169"/>
    <w:rPr>
      <w:rFonts w:ascii="LMRoman12" w:hAnsi="LMRoman12"/>
      <w:lang w:val="en-US"/>
      <w14:ligatures w14:val="standardContextual"/>
    </w:rPr>
  </w:style>
  <w:style w:type="paragraph" w:styleId="BodyText2">
    <w:name w:val="Body Text 2"/>
    <w:basedOn w:val="Normal"/>
    <w:link w:val="BodyText2Char"/>
    <w:uiPriority w:val="99"/>
    <w:semiHidden/>
    <w:unhideWhenUsed/>
    <w:rsid w:val="00001169"/>
    <w:pPr>
      <w:spacing w:after="120" w:line="480" w:lineRule="auto"/>
      <w:jc w:val="both"/>
    </w:pPr>
    <w:rPr>
      <w:rFonts w:ascii="LMRoman12" w:hAnsi="LMRoman12"/>
      <w:lang w:val="en-US"/>
      <w14:ligatures w14:val="standardContextual"/>
    </w:rPr>
  </w:style>
  <w:style w:type="character" w:customStyle="1" w:styleId="BodyText2Char">
    <w:name w:val="Body Text 2 Char"/>
    <w:basedOn w:val="DefaultParagraphFont"/>
    <w:link w:val="BodyText2"/>
    <w:uiPriority w:val="99"/>
    <w:semiHidden/>
    <w:rsid w:val="00001169"/>
    <w:rPr>
      <w:rFonts w:ascii="LMRoman12" w:hAnsi="LMRoman12"/>
      <w:lang w:val="en-US"/>
      <w14:ligatures w14:val="standardContextual"/>
    </w:rPr>
  </w:style>
  <w:style w:type="paragraph" w:styleId="BodyText3">
    <w:name w:val="Body Text 3"/>
    <w:basedOn w:val="Normal"/>
    <w:link w:val="BodyText3Char"/>
    <w:uiPriority w:val="99"/>
    <w:semiHidden/>
    <w:unhideWhenUsed/>
    <w:rsid w:val="00001169"/>
    <w:pPr>
      <w:spacing w:after="120" w:line="240" w:lineRule="auto"/>
      <w:jc w:val="both"/>
    </w:pPr>
    <w:rPr>
      <w:rFonts w:ascii="LMRoman12" w:hAnsi="LMRoman12"/>
      <w:sz w:val="16"/>
      <w:szCs w:val="16"/>
      <w:lang w:val="en-US"/>
      <w14:ligatures w14:val="standardContextual"/>
    </w:rPr>
  </w:style>
  <w:style w:type="character" w:customStyle="1" w:styleId="BodyText3Char">
    <w:name w:val="Body Text 3 Char"/>
    <w:basedOn w:val="DefaultParagraphFont"/>
    <w:link w:val="BodyText3"/>
    <w:uiPriority w:val="99"/>
    <w:semiHidden/>
    <w:rsid w:val="00001169"/>
    <w:rPr>
      <w:rFonts w:ascii="LMRoman12" w:hAnsi="LMRoman12"/>
      <w:sz w:val="16"/>
      <w:szCs w:val="16"/>
      <w:lang w:val="en-US"/>
      <w14:ligatures w14:val="standardContextual"/>
    </w:rPr>
  </w:style>
  <w:style w:type="paragraph" w:styleId="BodyTextFirstIndent">
    <w:name w:val="Body Text First Indent"/>
    <w:basedOn w:val="BodyText"/>
    <w:link w:val="BodyTextFirstIndentChar"/>
    <w:uiPriority w:val="99"/>
    <w:semiHidden/>
    <w:unhideWhenUsed/>
    <w:rsid w:val="00001169"/>
    <w:pPr>
      <w:spacing w:after="0"/>
      <w:ind w:firstLine="360"/>
    </w:pPr>
  </w:style>
  <w:style w:type="character" w:customStyle="1" w:styleId="BodyTextFirstIndentChar">
    <w:name w:val="Body Text First Indent Char"/>
    <w:basedOn w:val="BodyTextChar"/>
    <w:link w:val="BodyTextFirstIndent"/>
    <w:uiPriority w:val="99"/>
    <w:semiHidden/>
    <w:rsid w:val="00001169"/>
    <w:rPr>
      <w:rFonts w:ascii="LMRoman12" w:hAnsi="LMRoman12"/>
      <w:lang w:val="en-US"/>
      <w14:ligatures w14:val="standardContextual"/>
    </w:rPr>
  </w:style>
  <w:style w:type="paragraph" w:styleId="BodyTextIndent">
    <w:name w:val="Body Text Indent"/>
    <w:basedOn w:val="Normal"/>
    <w:link w:val="BodyTextIndentChar"/>
    <w:uiPriority w:val="99"/>
    <w:semiHidden/>
    <w:unhideWhenUsed/>
    <w:rsid w:val="00001169"/>
    <w:pPr>
      <w:spacing w:after="120" w:line="240" w:lineRule="auto"/>
      <w:ind w:left="283"/>
      <w:jc w:val="both"/>
    </w:pPr>
    <w:rPr>
      <w:rFonts w:ascii="LMRoman12" w:hAnsi="LMRoman12"/>
      <w:lang w:val="en-US"/>
      <w14:ligatures w14:val="standardContextual"/>
    </w:rPr>
  </w:style>
  <w:style w:type="character" w:customStyle="1" w:styleId="BodyTextIndentChar">
    <w:name w:val="Body Text Indent Char"/>
    <w:basedOn w:val="DefaultParagraphFont"/>
    <w:link w:val="BodyTextIndent"/>
    <w:uiPriority w:val="99"/>
    <w:semiHidden/>
    <w:rsid w:val="00001169"/>
    <w:rPr>
      <w:rFonts w:ascii="LMRoman12" w:hAnsi="LMRoman12"/>
      <w:lang w:val="en-US"/>
      <w14:ligatures w14:val="standardContextual"/>
    </w:rPr>
  </w:style>
  <w:style w:type="paragraph" w:styleId="BodyTextFirstIndent2">
    <w:name w:val="Body Text First Indent 2"/>
    <w:basedOn w:val="BodyTextIndent"/>
    <w:link w:val="BodyTextFirstIndent2Char"/>
    <w:uiPriority w:val="99"/>
    <w:semiHidden/>
    <w:unhideWhenUsed/>
    <w:rsid w:val="00001169"/>
    <w:pPr>
      <w:spacing w:after="0"/>
      <w:ind w:left="360" w:firstLine="360"/>
    </w:pPr>
  </w:style>
  <w:style w:type="character" w:customStyle="1" w:styleId="BodyTextFirstIndent2Char">
    <w:name w:val="Body Text First Indent 2 Char"/>
    <w:basedOn w:val="BodyTextIndentChar"/>
    <w:link w:val="BodyTextFirstIndent2"/>
    <w:uiPriority w:val="99"/>
    <w:semiHidden/>
    <w:rsid w:val="00001169"/>
    <w:rPr>
      <w:rFonts w:ascii="LMRoman12" w:hAnsi="LMRoman12"/>
      <w:lang w:val="en-US"/>
      <w14:ligatures w14:val="standardContextual"/>
    </w:rPr>
  </w:style>
  <w:style w:type="paragraph" w:styleId="BodyTextIndent2">
    <w:name w:val="Body Text Indent 2"/>
    <w:basedOn w:val="Normal"/>
    <w:link w:val="BodyTextIndent2Char"/>
    <w:uiPriority w:val="99"/>
    <w:semiHidden/>
    <w:unhideWhenUsed/>
    <w:rsid w:val="00001169"/>
    <w:pPr>
      <w:spacing w:after="120" w:line="480" w:lineRule="auto"/>
      <w:ind w:left="283"/>
      <w:jc w:val="both"/>
    </w:pPr>
    <w:rPr>
      <w:rFonts w:ascii="LMRoman12" w:hAnsi="LMRoman12"/>
      <w:lang w:val="en-US"/>
      <w14:ligatures w14:val="standardContextual"/>
    </w:rPr>
  </w:style>
  <w:style w:type="character" w:customStyle="1" w:styleId="BodyTextIndent2Char">
    <w:name w:val="Body Text Indent 2 Char"/>
    <w:basedOn w:val="DefaultParagraphFont"/>
    <w:link w:val="BodyTextIndent2"/>
    <w:uiPriority w:val="99"/>
    <w:semiHidden/>
    <w:rsid w:val="00001169"/>
    <w:rPr>
      <w:rFonts w:ascii="LMRoman12" w:hAnsi="LMRoman12"/>
      <w:lang w:val="en-US"/>
      <w14:ligatures w14:val="standardContextual"/>
    </w:rPr>
  </w:style>
  <w:style w:type="paragraph" w:styleId="BodyTextIndent3">
    <w:name w:val="Body Text Indent 3"/>
    <w:basedOn w:val="Normal"/>
    <w:link w:val="BodyTextIndent3Char"/>
    <w:uiPriority w:val="99"/>
    <w:semiHidden/>
    <w:unhideWhenUsed/>
    <w:rsid w:val="00001169"/>
    <w:pPr>
      <w:spacing w:after="120" w:line="240" w:lineRule="auto"/>
      <w:ind w:left="283"/>
      <w:jc w:val="both"/>
    </w:pPr>
    <w:rPr>
      <w:rFonts w:ascii="LMRoman12" w:hAnsi="LMRoman12"/>
      <w:sz w:val="16"/>
      <w:szCs w:val="16"/>
      <w:lang w:val="en-US"/>
      <w14:ligatures w14:val="standardContextual"/>
    </w:rPr>
  </w:style>
  <w:style w:type="character" w:customStyle="1" w:styleId="BodyTextIndent3Char">
    <w:name w:val="Body Text Indent 3 Char"/>
    <w:basedOn w:val="DefaultParagraphFont"/>
    <w:link w:val="BodyTextIndent3"/>
    <w:uiPriority w:val="99"/>
    <w:semiHidden/>
    <w:rsid w:val="00001169"/>
    <w:rPr>
      <w:rFonts w:ascii="LMRoman12" w:hAnsi="LMRoman12"/>
      <w:sz w:val="16"/>
      <w:szCs w:val="16"/>
      <w:lang w:val="en-US"/>
      <w14:ligatures w14:val="standardContextual"/>
    </w:rPr>
  </w:style>
  <w:style w:type="paragraph" w:styleId="Closing">
    <w:name w:val="Closing"/>
    <w:basedOn w:val="Normal"/>
    <w:link w:val="ClosingChar"/>
    <w:uiPriority w:val="99"/>
    <w:semiHidden/>
    <w:unhideWhenUsed/>
    <w:rsid w:val="00001169"/>
    <w:pPr>
      <w:spacing w:after="0" w:line="240" w:lineRule="auto"/>
      <w:ind w:left="4252"/>
      <w:jc w:val="both"/>
    </w:pPr>
    <w:rPr>
      <w:rFonts w:ascii="LMRoman12" w:hAnsi="LMRoman12"/>
      <w:lang w:val="en-US"/>
      <w14:ligatures w14:val="standardContextual"/>
    </w:rPr>
  </w:style>
  <w:style w:type="character" w:customStyle="1" w:styleId="ClosingChar">
    <w:name w:val="Closing Char"/>
    <w:basedOn w:val="DefaultParagraphFont"/>
    <w:link w:val="Closing"/>
    <w:uiPriority w:val="99"/>
    <w:semiHidden/>
    <w:rsid w:val="00001169"/>
    <w:rPr>
      <w:rFonts w:ascii="LMRoman12" w:hAnsi="LMRoman12"/>
      <w:lang w:val="en-US"/>
      <w14:ligatures w14:val="standardContextual"/>
    </w:rPr>
  </w:style>
  <w:style w:type="paragraph" w:styleId="Date">
    <w:name w:val="Date"/>
    <w:basedOn w:val="Normal"/>
    <w:next w:val="Normal"/>
    <w:link w:val="Date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DateChar">
    <w:name w:val="Date Char"/>
    <w:basedOn w:val="DefaultParagraphFont"/>
    <w:link w:val="Date"/>
    <w:uiPriority w:val="99"/>
    <w:semiHidden/>
    <w:rsid w:val="00001169"/>
    <w:rPr>
      <w:rFonts w:ascii="LMRoman12" w:hAnsi="LMRoman12"/>
      <w:lang w:val="en-US"/>
      <w14:ligatures w14:val="standardContextual"/>
    </w:rPr>
  </w:style>
  <w:style w:type="paragraph" w:styleId="DocumentMap">
    <w:name w:val="Document Map"/>
    <w:basedOn w:val="Normal"/>
    <w:link w:val="DocumentMapChar"/>
    <w:uiPriority w:val="99"/>
    <w:semiHidden/>
    <w:unhideWhenUsed/>
    <w:rsid w:val="00001169"/>
    <w:pPr>
      <w:spacing w:after="0" w:line="240" w:lineRule="auto"/>
      <w:jc w:val="both"/>
    </w:pPr>
    <w:rPr>
      <w:rFonts w:ascii="Segoe UI" w:hAnsi="Segoe UI" w:cs="Segoe UI"/>
      <w:sz w:val="16"/>
      <w:szCs w:val="16"/>
      <w:lang w:val="en-US"/>
      <w14:ligatures w14:val="standardContextual"/>
    </w:rPr>
  </w:style>
  <w:style w:type="character" w:customStyle="1" w:styleId="DocumentMapChar">
    <w:name w:val="Document Map Char"/>
    <w:basedOn w:val="DefaultParagraphFont"/>
    <w:link w:val="DocumentMap"/>
    <w:uiPriority w:val="99"/>
    <w:semiHidden/>
    <w:rsid w:val="00001169"/>
    <w:rPr>
      <w:rFonts w:ascii="Segoe UI" w:hAnsi="Segoe UI" w:cs="Segoe UI"/>
      <w:sz w:val="16"/>
      <w:szCs w:val="16"/>
      <w:lang w:val="en-US"/>
      <w14:ligatures w14:val="standardContextual"/>
    </w:rPr>
  </w:style>
  <w:style w:type="paragraph" w:styleId="E-mailSignature">
    <w:name w:val="E-mail Signature"/>
    <w:basedOn w:val="Normal"/>
    <w:link w:val="E-mailSignature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E-mailSignatureChar">
    <w:name w:val="E-mail Signature Char"/>
    <w:basedOn w:val="DefaultParagraphFont"/>
    <w:link w:val="E-mailSignature"/>
    <w:uiPriority w:val="99"/>
    <w:semiHidden/>
    <w:rsid w:val="00001169"/>
    <w:rPr>
      <w:rFonts w:ascii="LMRoman12" w:hAnsi="LMRoman12"/>
      <w:lang w:val="en-US"/>
      <w14:ligatures w14:val="standardContextual"/>
    </w:rPr>
  </w:style>
  <w:style w:type="paragraph" w:styleId="EnvelopeAddress">
    <w:name w:val="envelope address"/>
    <w:basedOn w:val="Normal"/>
    <w:uiPriority w:val="99"/>
    <w:semiHidden/>
    <w:unhideWhenUsed/>
    <w:rsid w:val="00001169"/>
    <w:pPr>
      <w:framePr w:w="7920" w:h="1980" w:hRule="exact" w:hSpace="141" w:wrap="auto" w:hAnchor="page" w:xAlign="center" w:yAlign="bottom"/>
      <w:spacing w:after="0" w:line="240" w:lineRule="auto"/>
      <w:ind w:left="2880"/>
      <w:jc w:val="both"/>
    </w:pPr>
    <w:rPr>
      <w:rFonts w:asciiTheme="majorHAnsi" w:eastAsiaTheme="majorEastAsia" w:hAnsiTheme="majorHAnsi" w:cstheme="majorBidi"/>
      <w:sz w:val="24"/>
      <w:szCs w:val="24"/>
      <w:lang w:val="en-US"/>
      <w14:ligatures w14:val="standardContextual"/>
    </w:rPr>
  </w:style>
  <w:style w:type="paragraph" w:styleId="EnvelopeReturn">
    <w:name w:val="envelope return"/>
    <w:basedOn w:val="Normal"/>
    <w:uiPriority w:val="99"/>
    <w:semiHidden/>
    <w:unhideWhenUsed/>
    <w:rsid w:val="00001169"/>
    <w:pPr>
      <w:spacing w:after="0" w:line="240" w:lineRule="auto"/>
      <w:jc w:val="both"/>
    </w:pPr>
    <w:rPr>
      <w:rFonts w:asciiTheme="majorHAnsi" w:eastAsiaTheme="majorEastAsia" w:hAnsiTheme="majorHAnsi" w:cstheme="majorBidi"/>
      <w:sz w:val="20"/>
      <w:szCs w:val="20"/>
      <w:lang w:val="en-US"/>
      <w14:ligatures w14:val="standardContextual"/>
    </w:rPr>
  </w:style>
  <w:style w:type="paragraph" w:styleId="HTMLAddress">
    <w:name w:val="HTML Address"/>
    <w:basedOn w:val="Normal"/>
    <w:link w:val="HTMLAddressChar"/>
    <w:uiPriority w:val="99"/>
    <w:semiHidden/>
    <w:unhideWhenUsed/>
    <w:rsid w:val="00001169"/>
    <w:pPr>
      <w:spacing w:after="0" w:line="240" w:lineRule="auto"/>
      <w:jc w:val="both"/>
    </w:pPr>
    <w:rPr>
      <w:rFonts w:ascii="LMRoman12" w:hAnsi="LMRoman12"/>
      <w:i/>
      <w:iCs/>
      <w:lang w:val="en-US"/>
      <w14:ligatures w14:val="standardContextual"/>
    </w:rPr>
  </w:style>
  <w:style w:type="character" w:customStyle="1" w:styleId="HTMLAddressChar">
    <w:name w:val="HTML Address Char"/>
    <w:basedOn w:val="DefaultParagraphFont"/>
    <w:link w:val="HTMLAddress"/>
    <w:uiPriority w:val="99"/>
    <w:semiHidden/>
    <w:rsid w:val="00001169"/>
    <w:rPr>
      <w:rFonts w:ascii="LMRoman12" w:hAnsi="LMRoman12"/>
      <w:i/>
      <w:iCs/>
      <w:lang w:val="en-US"/>
      <w14:ligatures w14:val="standardContextual"/>
    </w:rPr>
  </w:style>
  <w:style w:type="paragraph" w:styleId="HTMLPreformatted">
    <w:name w:val="HTML Preformatted"/>
    <w:basedOn w:val="Normal"/>
    <w:link w:val="HTMLPreformattedChar"/>
    <w:uiPriority w:val="99"/>
    <w:semiHidden/>
    <w:unhideWhenUsed/>
    <w:rsid w:val="00001169"/>
    <w:pPr>
      <w:spacing w:after="0" w:line="240" w:lineRule="auto"/>
      <w:jc w:val="both"/>
    </w:pPr>
    <w:rPr>
      <w:rFonts w:ascii="Consolas" w:hAnsi="Consolas" w:cs="Consolas"/>
      <w:sz w:val="20"/>
      <w:szCs w:val="20"/>
      <w:lang w:val="en-US"/>
      <w14:ligatures w14:val="standardContextual"/>
    </w:rPr>
  </w:style>
  <w:style w:type="character" w:customStyle="1" w:styleId="HTMLPreformattedChar">
    <w:name w:val="HTML Preformatted Char"/>
    <w:basedOn w:val="DefaultParagraphFont"/>
    <w:link w:val="HTMLPreformatted"/>
    <w:uiPriority w:val="99"/>
    <w:semiHidden/>
    <w:rsid w:val="00001169"/>
    <w:rPr>
      <w:rFonts w:ascii="Consolas" w:hAnsi="Consolas" w:cs="Consolas"/>
      <w:sz w:val="20"/>
      <w:szCs w:val="20"/>
      <w:lang w:val="en-US"/>
      <w14:ligatures w14:val="standardContextual"/>
    </w:rPr>
  </w:style>
  <w:style w:type="paragraph" w:styleId="Index3">
    <w:name w:val="index 3"/>
    <w:basedOn w:val="Normal"/>
    <w:next w:val="Normal"/>
    <w:autoRedefine/>
    <w:uiPriority w:val="99"/>
    <w:semiHidden/>
    <w:unhideWhenUsed/>
    <w:rsid w:val="00001169"/>
    <w:pPr>
      <w:spacing w:after="0" w:line="240" w:lineRule="auto"/>
      <w:ind w:left="660" w:hanging="220"/>
      <w:jc w:val="both"/>
    </w:pPr>
    <w:rPr>
      <w:rFonts w:ascii="LMRoman12" w:hAnsi="LMRoman12"/>
      <w:lang w:val="en-US"/>
      <w14:ligatures w14:val="standardContextual"/>
    </w:rPr>
  </w:style>
  <w:style w:type="paragraph" w:styleId="Index4">
    <w:name w:val="index 4"/>
    <w:basedOn w:val="Normal"/>
    <w:next w:val="Normal"/>
    <w:autoRedefine/>
    <w:uiPriority w:val="99"/>
    <w:semiHidden/>
    <w:unhideWhenUsed/>
    <w:rsid w:val="00001169"/>
    <w:pPr>
      <w:spacing w:after="0" w:line="240" w:lineRule="auto"/>
      <w:ind w:left="880" w:hanging="220"/>
      <w:jc w:val="both"/>
    </w:pPr>
    <w:rPr>
      <w:rFonts w:ascii="LMRoman12" w:hAnsi="LMRoman12"/>
      <w:lang w:val="en-US"/>
      <w14:ligatures w14:val="standardContextual"/>
    </w:rPr>
  </w:style>
  <w:style w:type="paragraph" w:styleId="Index5">
    <w:name w:val="index 5"/>
    <w:basedOn w:val="Normal"/>
    <w:next w:val="Normal"/>
    <w:autoRedefine/>
    <w:uiPriority w:val="99"/>
    <w:semiHidden/>
    <w:unhideWhenUsed/>
    <w:rsid w:val="00001169"/>
    <w:pPr>
      <w:spacing w:after="0" w:line="240" w:lineRule="auto"/>
      <w:ind w:left="1100" w:hanging="220"/>
      <w:jc w:val="both"/>
    </w:pPr>
    <w:rPr>
      <w:rFonts w:ascii="LMRoman12" w:hAnsi="LMRoman12"/>
      <w:lang w:val="en-US"/>
      <w14:ligatures w14:val="standardContextual"/>
    </w:rPr>
  </w:style>
  <w:style w:type="paragraph" w:styleId="Index6">
    <w:name w:val="index 6"/>
    <w:basedOn w:val="Normal"/>
    <w:next w:val="Normal"/>
    <w:autoRedefine/>
    <w:uiPriority w:val="99"/>
    <w:semiHidden/>
    <w:unhideWhenUsed/>
    <w:rsid w:val="00001169"/>
    <w:pPr>
      <w:spacing w:after="0" w:line="240" w:lineRule="auto"/>
      <w:ind w:left="1320" w:hanging="220"/>
      <w:jc w:val="both"/>
    </w:pPr>
    <w:rPr>
      <w:rFonts w:ascii="LMRoman12" w:hAnsi="LMRoman12"/>
      <w:lang w:val="en-US"/>
      <w14:ligatures w14:val="standardContextual"/>
    </w:rPr>
  </w:style>
  <w:style w:type="paragraph" w:styleId="Index7">
    <w:name w:val="index 7"/>
    <w:basedOn w:val="Normal"/>
    <w:next w:val="Normal"/>
    <w:autoRedefine/>
    <w:uiPriority w:val="99"/>
    <w:semiHidden/>
    <w:unhideWhenUsed/>
    <w:rsid w:val="00001169"/>
    <w:pPr>
      <w:spacing w:after="0" w:line="240" w:lineRule="auto"/>
      <w:ind w:left="1540" w:hanging="220"/>
      <w:jc w:val="both"/>
    </w:pPr>
    <w:rPr>
      <w:rFonts w:ascii="LMRoman12" w:hAnsi="LMRoman12"/>
      <w:lang w:val="en-US"/>
      <w14:ligatures w14:val="standardContextual"/>
    </w:rPr>
  </w:style>
  <w:style w:type="paragraph" w:styleId="Index8">
    <w:name w:val="index 8"/>
    <w:basedOn w:val="Normal"/>
    <w:next w:val="Normal"/>
    <w:autoRedefine/>
    <w:uiPriority w:val="99"/>
    <w:semiHidden/>
    <w:unhideWhenUsed/>
    <w:rsid w:val="00001169"/>
    <w:pPr>
      <w:spacing w:after="0" w:line="240" w:lineRule="auto"/>
      <w:ind w:left="1760" w:hanging="220"/>
      <w:jc w:val="both"/>
    </w:pPr>
    <w:rPr>
      <w:rFonts w:ascii="LMRoman12" w:hAnsi="LMRoman12"/>
      <w:lang w:val="en-US"/>
      <w14:ligatures w14:val="standardContextual"/>
    </w:rPr>
  </w:style>
  <w:style w:type="paragraph" w:styleId="Index9">
    <w:name w:val="index 9"/>
    <w:basedOn w:val="Normal"/>
    <w:next w:val="Normal"/>
    <w:autoRedefine/>
    <w:uiPriority w:val="99"/>
    <w:semiHidden/>
    <w:unhideWhenUsed/>
    <w:rsid w:val="00001169"/>
    <w:pPr>
      <w:spacing w:after="0" w:line="240" w:lineRule="auto"/>
      <w:ind w:left="1980" w:hanging="220"/>
      <w:jc w:val="both"/>
    </w:pPr>
    <w:rPr>
      <w:rFonts w:ascii="LMRoman12" w:hAnsi="LMRoman12"/>
      <w:lang w:val="en-US"/>
      <w14:ligatures w14:val="standardContextual"/>
    </w:rPr>
  </w:style>
  <w:style w:type="paragraph" w:styleId="IndexHeading">
    <w:name w:val="index heading"/>
    <w:basedOn w:val="Normal"/>
    <w:next w:val="Index1"/>
    <w:uiPriority w:val="99"/>
    <w:semiHidden/>
    <w:unhideWhenUsed/>
    <w:rsid w:val="00001169"/>
    <w:pPr>
      <w:spacing w:after="0" w:line="240" w:lineRule="auto"/>
      <w:jc w:val="both"/>
    </w:pPr>
    <w:rPr>
      <w:rFonts w:asciiTheme="majorHAnsi" w:eastAsiaTheme="majorEastAsia" w:hAnsiTheme="majorHAnsi" w:cstheme="majorBidi"/>
      <w:b/>
      <w:bCs/>
      <w:lang w:val="en-US"/>
      <w14:ligatures w14:val="standardContextual"/>
    </w:rPr>
  </w:style>
  <w:style w:type="paragraph" w:styleId="List">
    <w:name w:val="List"/>
    <w:basedOn w:val="Normal"/>
    <w:uiPriority w:val="99"/>
    <w:semiHidden/>
    <w:unhideWhenUsed/>
    <w:rsid w:val="00001169"/>
    <w:pPr>
      <w:spacing w:after="0" w:line="240" w:lineRule="auto"/>
      <w:ind w:left="283" w:hanging="283"/>
      <w:contextualSpacing/>
      <w:jc w:val="both"/>
    </w:pPr>
    <w:rPr>
      <w:rFonts w:ascii="LMRoman12" w:hAnsi="LMRoman12"/>
      <w:lang w:val="en-US"/>
      <w14:ligatures w14:val="standardContextual"/>
    </w:rPr>
  </w:style>
  <w:style w:type="paragraph" w:styleId="List2">
    <w:name w:val="List 2"/>
    <w:basedOn w:val="Normal"/>
    <w:uiPriority w:val="99"/>
    <w:semiHidden/>
    <w:unhideWhenUsed/>
    <w:rsid w:val="00001169"/>
    <w:pPr>
      <w:spacing w:after="0" w:line="240" w:lineRule="auto"/>
      <w:ind w:left="566" w:hanging="283"/>
      <w:contextualSpacing/>
      <w:jc w:val="both"/>
    </w:pPr>
    <w:rPr>
      <w:rFonts w:ascii="LMRoman12" w:hAnsi="LMRoman12"/>
      <w:lang w:val="en-US"/>
      <w14:ligatures w14:val="standardContextual"/>
    </w:rPr>
  </w:style>
  <w:style w:type="paragraph" w:styleId="List3">
    <w:name w:val="List 3"/>
    <w:basedOn w:val="Normal"/>
    <w:uiPriority w:val="99"/>
    <w:semiHidden/>
    <w:unhideWhenUsed/>
    <w:rsid w:val="00001169"/>
    <w:pPr>
      <w:spacing w:after="0" w:line="240" w:lineRule="auto"/>
      <w:ind w:left="849" w:hanging="283"/>
      <w:contextualSpacing/>
      <w:jc w:val="both"/>
    </w:pPr>
    <w:rPr>
      <w:rFonts w:ascii="LMRoman12" w:hAnsi="LMRoman12"/>
      <w:lang w:val="en-US"/>
      <w14:ligatures w14:val="standardContextual"/>
    </w:rPr>
  </w:style>
  <w:style w:type="paragraph" w:styleId="List4">
    <w:name w:val="List 4"/>
    <w:basedOn w:val="Normal"/>
    <w:uiPriority w:val="99"/>
    <w:semiHidden/>
    <w:unhideWhenUsed/>
    <w:rsid w:val="00001169"/>
    <w:pPr>
      <w:spacing w:after="0" w:line="240" w:lineRule="auto"/>
      <w:ind w:left="1132" w:hanging="283"/>
      <w:contextualSpacing/>
      <w:jc w:val="both"/>
    </w:pPr>
    <w:rPr>
      <w:rFonts w:ascii="LMRoman12" w:hAnsi="LMRoman12"/>
      <w:lang w:val="en-US"/>
      <w14:ligatures w14:val="standardContextual"/>
    </w:rPr>
  </w:style>
  <w:style w:type="paragraph" w:styleId="List5">
    <w:name w:val="List 5"/>
    <w:basedOn w:val="Normal"/>
    <w:uiPriority w:val="99"/>
    <w:semiHidden/>
    <w:unhideWhenUsed/>
    <w:rsid w:val="00001169"/>
    <w:pPr>
      <w:spacing w:after="0" w:line="240" w:lineRule="auto"/>
      <w:ind w:left="1415" w:hanging="283"/>
      <w:contextualSpacing/>
      <w:jc w:val="both"/>
    </w:pPr>
    <w:rPr>
      <w:rFonts w:ascii="LMRoman12" w:hAnsi="LMRoman12"/>
      <w:lang w:val="en-US"/>
      <w14:ligatures w14:val="standardContextual"/>
    </w:rPr>
  </w:style>
  <w:style w:type="paragraph" w:styleId="ListBullet">
    <w:name w:val="List Bullet"/>
    <w:basedOn w:val="Normal"/>
    <w:uiPriority w:val="99"/>
    <w:semiHidden/>
    <w:unhideWhenUsed/>
    <w:rsid w:val="00001169"/>
    <w:pPr>
      <w:numPr>
        <w:numId w:val="6"/>
      </w:numPr>
      <w:spacing w:after="0" w:line="240" w:lineRule="auto"/>
      <w:contextualSpacing/>
      <w:jc w:val="both"/>
    </w:pPr>
    <w:rPr>
      <w:rFonts w:ascii="LMRoman12" w:hAnsi="LMRoman12"/>
      <w:lang w:val="en-US"/>
      <w14:ligatures w14:val="standardContextual"/>
    </w:rPr>
  </w:style>
  <w:style w:type="paragraph" w:styleId="ListBullet2">
    <w:name w:val="List Bullet 2"/>
    <w:basedOn w:val="Normal"/>
    <w:uiPriority w:val="99"/>
    <w:semiHidden/>
    <w:unhideWhenUsed/>
    <w:rsid w:val="00001169"/>
    <w:pPr>
      <w:numPr>
        <w:numId w:val="7"/>
      </w:numPr>
      <w:spacing w:after="0" w:line="240" w:lineRule="auto"/>
      <w:contextualSpacing/>
      <w:jc w:val="both"/>
    </w:pPr>
    <w:rPr>
      <w:rFonts w:ascii="LMRoman12" w:hAnsi="LMRoman12"/>
      <w:lang w:val="en-US"/>
      <w14:ligatures w14:val="standardContextual"/>
    </w:rPr>
  </w:style>
  <w:style w:type="paragraph" w:styleId="ListBullet3">
    <w:name w:val="List Bullet 3"/>
    <w:basedOn w:val="Normal"/>
    <w:uiPriority w:val="99"/>
    <w:semiHidden/>
    <w:unhideWhenUsed/>
    <w:rsid w:val="00001169"/>
    <w:pPr>
      <w:numPr>
        <w:numId w:val="8"/>
      </w:numPr>
      <w:spacing w:after="0" w:line="240" w:lineRule="auto"/>
      <w:contextualSpacing/>
      <w:jc w:val="both"/>
    </w:pPr>
    <w:rPr>
      <w:rFonts w:ascii="LMRoman12" w:hAnsi="LMRoman12"/>
      <w:lang w:val="en-US"/>
      <w14:ligatures w14:val="standardContextual"/>
    </w:rPr>
  </w:style>
  <w:style w:type="paragraph" w:styleId="ListBullet4">
    <w:name w:val="List Bullet 4"/>
    <w:basedOn w:val="Normal"/>
    <w:uiPriority w:val="99"/>
    <w:semiHidden/>
    <w:unhideWhenUsed/>
    <w:rsid w:val="00001169"/>
    <w:pPr>
      <w:numPr>
        <w:numId w:val="9"/>
      </w:numPr>
      <w:spacing w:after="0" w:line="240" w:lineRule="auto"/>
      <w:contextualSpacing/>
      <w:jc w:val="both"/>
    </w:pPr>
    <w:rPr>
      <w:rFonts w:ascii="LMRoman12" w:hAnsi="LMRoman12"/>
      <w:lang w:val="en-US"/>
      <w14:ligatures w14:val="standardContextual"/>
    </w:rPr>
  </w:style>
  <w:style w:type="paragraph" w:styleId="ListBullet5">
    <w:name w:val="List Bullet 5"/>
    <w:basedOn w:val="Normal"/>
    <w:uiPriority w:val="99"/>
    <w:semiHidden/>
    <w:unhideWhenUsed/>
    <w:rsid w:val="00001169"/>
    <w:pPr>
      <w:numPr>
        <w:numId w:val="10"/>
      </w:numPr>
      <w:spacing w:after="0" w:line="240" w:lineRule="auto"/>
      <w:contextualSpacing/>
      <w:jc w:val="both"/>
    </w:pPr>
    <w:rPr>
      <w:rFonts w:ascii="LMRoman12" w:hAnsi="LMRoman12"/>
      <w:lang w:val="en-US"/>
      <w14:ligatures w14:val="standardContextual"/>
    </w:rPr>
  </w:style>
  <w:style w:type="paragraph" w:styleId="ListContinue">
    <w:name w:val="List Continue"/>
    <w:basedOn w:val="Normal"/>
    <w:uiPriority w:val="99"/>
    <w:semiHidden/>
    <w:unhideWhenUsed/>
    <w:rsid w:val="00001169"/>
    <w:pPr>
      <w:spacing w:after="120" w:line="240" w:lineRule="auto"/>
      <w:ind w:left="283"/>
      <w:contextualSpacing/>
      <w:jc w:val="both"/>
    </w:pPr>
    <w:rPr>
      <w:rFonts w:ascii="LMRoman12" w:hAnsi="LMRoman12"/>
      <w:lang w:val="en-US"/>
      <w14:ligatures w14:val="standardContextual"/>
    </w:rPr>
  </w:style>
  <w:style w:type="paragraph" w:styleId="ListContinue2">
    <w:name w:val="List Continue 2"/>
    <w:basedOn w:val="Normal"/>
    <w:uiPriority w:val="99"/>
    <w:semiHidden/>
    <w:unhideWhenUsed/>
    <w:rsid w:val="00001169"/>
    <w:pPr>
      <w:spacing w:after="120" w:line="240" w:lineRule="auto"/>
      <w:ind w:left="566"/>
      <w:contextualSpacing/>
      <w:jc w:val="both"/>
    </w:pPr>
    <w:rPr>
      <w:rFonts w:ascii="LMRoman12" w:hAnsi="LMRoman12"/>
      <w:lang w:val="en-US"/>
      <w14:ligatures w14:val="standardContextual"/>
    </w:rPr>
  </w:style>
  <w:style w:type="paragraph" w:styleId="ListContinue3">
    <w:name w:val="List Continue 3"/>
    <w:basedOn w:val="Normal"/>
    <w:uiPriority w:val="99"/>
    <w:semiHidden/>
    <w:unhideWhenUsed/>
    <w:rsid w:val="00001169"/>
    <w:pPr>
      <w:spacing w:after="120" w:line="240" w:lineRule="auto"/>
      <w:ind w:left="849"/>
      <w:contextualSpacing/>
      <w:jc w:val="both"/>
    </w:pPr>
    <w:rPr>
      <w:rFonts w:ascii="LMRoman12" w:hAnsi="LMRoman12"/>
      <w:lang w:val="en-US"/>
      <w14:ligatures w14:val="standardContextual"/>
    </w:rPr>
  </w:style>
  <w:style w:type="paragraph" w:styleId="ListContinue4">
    <w:name w:val="List Continue 4"/>
    <w:basedOn w:val="Normal"/>
    <w:uiPriority w:val="99"/>
    <w:semiHidden/>
    <w:unhideWhenUsed/>
    <w:rsid w:val="00001169"/>
    <w:pPr>
      <w:spacing w:after="120" w:line="240" w:lineRule="auto"/>
      <w:ind w:left="1132"/>
      <w:contextualSpacing/>
      <w:jc w:val="both"/>
    </w:pPr>
    <w:rPr>
      <w:rFonts w:ascii="LMRoman12" w:hAnsi="LMRoman12"/>
      <w:lang w:val="en-US"/>
      <w14:ligatures w14:val="standardContextual"/>
    </w:rPr>
  </w:style>
  <w:style w:type="paragraph" w:styleId="ListContinue5">
    <w:name w:val="List Continue 5"/>
    <w:basedOn w:val="Normal"/>
    <w:uiPriority w:val="99"/>
    <w:semiHidden/>
    <w:unhideWhenUsed/>
    <w:rsid w:val="00001169"/>
    <w:pPr>
      <w:spacing w:after="120" w:line="240" w:lineRule="auto"/>
      <w:ind w:left="1415"/>
      <w:contextualSpacing/>
      <w:jc w:val="both"/>
    </w:pPr>
    <w:rPr>
      <w:rFonts w:ascii="LMRoman12" w:hAnsi="LMRoman12"/>
      <w:lang w:val="en-US"/>
      <w14:ligatures w14:val="standardContextual"/>
    </w:rPr>
  </w:style>
  <w:style w:type="paragraph" w:styleId="ListNumber">
    <w:name w:val="List Number"/>
    <w:basedOn w:val="Normal"/>
    <w:uiPriority w:val="99"/>
    <w:semiHidden/>
    <w:unhideWhenUsed/>
    <w:rsid w:val="00001169"/>
    <w:pPr>
      <w:numPr>
        <w:numId w:val="11"/>
      </w:numPr>
      <w:spacing w:after="0" w:line="240" w:lineRule="auto"/>
      <w:contextualSpacing/>
      <w:jc w:val="both"/>
    </w:pPr>
    <w:rPr>
      <w:rFonts w:ascii="LMRoman12" w:hAnsi="LMRoman12"/>
      <w:lang w:val="en-US"/>
      <w14:ligatures w14:val="standardContextual"/>
    </w:rPr>
  </w:style>
  <w:style w:type="paragraph" w:styleId="ListNumber2">
    <w:name w:val="List Number 2"/>
    <w:basedOn w:val="Normal"/>
    <w:uiPriority w:val="99"/>
    <w:semiHidden/>
    <w:unhideWhenUsed/>
    <w:rsid w:val="00001169"/>
    <w:pPr>
      <w:numPr>
        <w:numId w:val="12"/>
      </w:numPr>
      <w:spacing w:after="0" w:line="240" w:lineRule="auto"/>
      <w:contextualSpacing/>
      <w:jc w:val="both"/>
    </w:pPr>
    <w:rPr>
      <w:rFonts w:ascii="LMRoman12" w:hAnsi="LMRoman12"/>
      <w:lang w:val="en-US"/>
      <w14:ligatures w14:val="standardContextual"/>
    </w:rPr>
  </w:style>
  <w:style w:type="paragraph" w:styleId="ListNumber3">
    <w:name w:val="List Number 3"/>
    <w:basedOn w:val="Normal"/>
    <w:uiPriority w:val="99"/>
    <w:semiHidden/>
    <w:unhideWhenUsed/>
    <w:rsid w:val="00001169"/>
    <w:pPr>
      <w:numPr>
        <w:numId w:val="13"/>
      </w:numPr>
      <w:spacing w:after="0" w:line="240" w:lineRule="auto"/>
      <w:contextualSpacing/>
      <w:jc w:val="both"/>
    </w:pPr>
    <w:rPr>
      <w:rFonts w:ascii="LMRoman12" w:hAnsi="LMRoman12"/>
      <w:lang w:val="en-US"/>
      <w14:ligatures w14:val="standardContextual"/>
    </w:rPr>
  </w:style>
  <w:style w:type="paragraph" w:styleId="ListNumber4">
    <w:name w:val="List Number 4"/>
    <w:basedOn w:val="Normal"/>
    <w:uiPriority w:val="99"/>
    <w:semiHidden/>
    <w:unhideWhenUsed/>
    <w:rsid w:val="00001169"/>
    <w:pPr>
      <w:numPr>
        <w:numId w:val="14"/>
      </w:numPr>
      <w:spacing w:after="0" w:line="240" w:lineRule="auto"/>
      <w:contextualSpacing/>
      <w:jc w:val="both"/>
    </w:pPr>
    <w:rPr>
      <w:rFonts w:ascii="LMRoman12" w:hAnsi="LMRoman12"/>
      <w:lang w:val="en-US"/>
      <w14:ligatures w14:val="standardContextual"/>
    </w:rPr>
  </w:style>
  <w:style w:type="paragraph" w:styleId="ListNumber5">
    <w:name w:val="List Number 5"/>
    <w:basedOn w:val="Normal"/>
    <w:uiPriority w:val="99"/>
    <w:semiHidden/>
    <w:unhideWhenUsed/>
    <w:rsid w:val="00001169"/>
    <w:pPr>
      <w:numPr>
        <w:numId w:val="15"/>
      </w:numPr>
      <w:spacing w:after="0" w:line="240" w:lineRule="auto"/>
      <w:contextualSpacing/>
      <w:jc w:val="both"/>
    </w:pPr>
    <w:rPr>
      <w:rFonts w:ascii="LMRoman12" w:hAnsi="LMRoman12"/>
      <w:lang w:val="en-US"/>
      <w14:ligatures w14:val="standardContextual"/>
    </w:rPr>
  </w:style>
  <w:style w:type="paragraph" w:styleId="MacroText">
    <w:name w:val="macro"/>
    <w:link w:val="MacroTextChar"/>
    <w:uiPriority w:val="99"/>
    <w:semiHidden/>
    <w:unhideWhenUsed/>
    <w:rsid w:val="00001169"/>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hAnsi="Consolas" w:cs="Consolas"/>
      <w:color w:val="365F91" w:themeColor="accent1" w:themeShade="BF"/>
      <w:sz w:val="20"/>
      <w:szCs w:val="20"/>
      <w:lang w:val="en-US"/>
      <w14:ligatures w14:val="standardContextual"/>
    </w:rPr>
  </w:style>
  <w:style w:type="character" w:customStyle="1" w:styleId="MacroTextChar">
    <w:name w:val="Macro Text Char"/>
    <w:basedOn w:val="DefaultParagraphFont"/>
    <w:link w:val="MacroText"/>
    <w:uiPriority w:val="99"/>
    <w:semiHidden/>
    <w:rsid w:val="00001169"/>
    <w:rPr>
      <w:rFonts w:ascii="Consolas" w:hAnsi="Consolas" w:cs="Consolas"/>
      <w:color w:val="365F91" w:themeColor="accent1" w:themeShade="BF"/>
      <w:sz w:val="20"/>
      <w:szCs w:val="20"/>
      <w:lang w:val="en-US"/>
      <w14:ligatures w14:val="standardContextual"/>
    </w:rPr>
  </w:style>
  <w:style w:type="paragraph" w:styleId="MessageHeader">
    <w:name w:val="Message Header"/>
    <w:basedOn w:val="Normal"/>
    <w:link w:val="MessageHeaderChar"/>
    <w:uiPriority w:val="99"/>
    <w:semiHidden/>
    <w:unhideWhenUsed/>
    <w:rsid w:val="0000116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Theme="majorHAnsi" w:eastAsiaTheme="majorEastAsia" w:hAnsiTheme="majorHAnsi" w:cstheme="majorBidi"/>
      <w:sz w:val="24"/>
      <w:szCs w:val="24"/>
      <w:lang w:val="en-US"/>
      <w14:ligatures w14:val="standardContextual"/>
    </w:rPr>
  </w:style>
  <w:style w:type="character" w:customStyle="1" w:styleId="MessageHeaderChar">
    <w:name w:val="Message Header Char"/>
    <w:basedOn w:val="DefaultParagraphFont"/>
    <w:link w:val="MessageHeader"/>
    <w:uiPriority w:val="99"/>
    <w:semiHidden/>
    <w:rsid w:val="00001169"/>
    <w:rPr>
      <w:rFonts w:asciiTheme="majorHAnsi" w:eastAsiaTheme="majorEastAsia" w:hAnsiTheme="majorHAnsi" w:cstheme="majorBidi"/>
      <w:sz w:val="24"/>
      <w:szCs w:val="24"/>
      <w:shd w:val="pct20" w:color="auto" w:fill="auto"/>
      <w:lang w:val="en-US"/>
      <w14:ligatures w14:val="standardContextual"/>
    </w:rPr>
  </w:style>
  <w:style w:type="paragraph" w:styleId="NoSpacing">
    <w:name w:val="No Spacing"/>
    <w:uiPriority w:val="1"/>
    <w:qFormat/>
    <w:rsid w:val="00001169"/>
    <w:pPr>
      <w:spacing w:after="0" w:line="240" w:lineRule="auto"/>
      <w:jc w:val="both"/>
    </w:pPr>
    <w:rPr>
      <w:rFonts w:ascii="LMRoman12" w:hAnsi="LMRoman12"/>
      <w:color w:val="365F91" w:themeColor="accent1" w:themeShade="BF"/>
      <w:lang w:val="en-US"/>
      <w14:ligatures w14:val="standardContextual"/>
    </w:rPr>
  </w:style>
  <w:style w:type="paragraph" w:styleId="NormalIndent">
    <w:name w:val="Normal Indent"/>
    <w:basedOn w:val="Normal"/>
    <w:uiPriority w:val="99"/>
    <w:semiHidden/>
    <w:unhideWhenUsed/>
    <w:rsid w:val="00001169"/>
    <w:pPr>
      <w:spacing w:after="0" w:line="240" w:lineRule="auto"/>
      <w:ind w:left="708"/>
      <w:jc w:val="both"/>
    </w:pPr>
    <w:rPr>
      <w:rFonts w:ascii="LMRoman12" w:hAnsi="LMRoman12"/>
      <w:lang w:val="en-US"/>
      <w14:ligatures w14:val="standardContextual"/>
    </w:rPr>
  </w:style>
  <w:style w:type="paragraph" w:styleId="NoteHeading">
    <w:name w:val="Note Heading"/>
    <w:basedOn w:val="Normal"/>
    <w:next w:val="Normal"/>
    <w:link w:val="NoteHeading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NoteHeadingChar">
    <w:name w:val="Note Heading Char"/>
    <w:basedOn w:val="DefaultParagraphFont"/>
    <w:link w:val="NoteHeading"/>
    <w:uiPriority w:val="99"/>
    <w:semiHidden/>
    <w:rsid w:val="00001169"/>
    <w:rPr>
      <w:rFonts w:ascii="LMRoman12" w:hAnsi="LMRoman12"/>
      <w:lang w:val="en-US"/>
      <w14:ligatures w14:val="standardContextual"/>
    </w:rPr>
  </w:style>
  <w:style w:type="paragraph" w:styleId="Quote">
    <w:name w:val="Quote"/>
    <w:basedOn w:val="Normal"/>
    <w:next w:val="Normal"/>
    <w:link w:val="QuoteChar"/>
    <w:uiPriority w:val="29"/>
    <w:qFormat/>
    <w:rsid w:val="00001169"/>
    <w:pPr>
      <w:spacing w:before="200" w:after="160" w:line="240" w:lineRule="auto"/>
      <w:ind w:left="864" w:right="864"/>
      <w:jc w:val="center"/>
    </w:pPr>
    <w:rPr>
      <w:rFonts w:ascii="LMRoman12" w:hAnsi="LMRoman12"/>
      <w:i/>
      <w:iCs/>
      <w:color w:val="404040" w:themeColor="text1" w:themeTint="BF"/>
      <w:lang w:val="en-US"/>
      <w14:ligatures w14:val="standardContextual"/>
    </w:rPr>
  </w:style>
  <w:style w:type="character" w:customStyle="1" w:styleId="QuoteChar">
    <w:name w:val="Quote Char"/>
    <w:basedOn w:val="DefaultParagraphFont"/>
    <w:link w:val="Quote"/>
    <w:uiPriority w:val="29"/>
    <w:rsid w:val="00001169"/>
    <w:rPr>
      <w:rFonts w:ascii="LMRoman12" w:hAnsi="LMRoman12"/>
      <w:i/>
      <w:iCs/>
      <w:color w:val="404040" w:themeColor="text1" w:themeTint="BF"/>
      <w:lang w:val="en-US"/>
      <w14:ligatures w14:val="standardContextual"/>
    </w:rPr>
  </w:style>
  <w:style w:type="paragraph" w:styleId="Salutation">
    <w:name w:val="Salutation"/>
    <w:basedOn w:val="Normal"/>
    <w:next w:val="Normal"/>
    <w:link w:val="SalutationChar"/>
    <w:uiPriority w:val="99"/>
    <w:semiHidden/>
    <w:unhideWhenUsed/>
    <w:rsid w:val="00001169"/>
    <w:pPr>
      <w:spacing w:after="0" w:line="240" w:lineRule="auto"/>
      <w:jc w:val="both"/>
    </w:pPr>
    <w:rPr>
      <w:rFonts w:ascii="LMRoman12" w:hAnsi="LMRoman12"/>
      <w:lang w:val="en-US"/>
      <w14:ligatures w14:val="standardContextual"/>
    </w:rPr>
  </w:style>
  <w:style w:type="character" w:customStyle="1" w:styleId="SalutationChar">
    <w:name w:val="Salutation Char"/>
    <w:basedOn w:val="DefaultParagraphFont"/>
    <w:link w:val="Salutation"/>
    <w:uiPriority w:val="99"/>
    <w:semiHidden/>
    <w:rsid w:val="00001169"/>
    <w:rPr>
      <w:rFonts w:ascii="LMRoman12" w:hAnsi="LMRoman12"/>
      <w:lang w:val="en-US"/>
      <w14:ligatures w14:val="standardContextual"/>
    </w:rPr>
  </w:style>
  <w:style w:type="paragraph" w:styleId="Signature">
    <w:name w:val="Signature"/>
    <w:basedOn w:val="Normal"/>
    <w:link w:val="SignatureChar"/>
    <w:uiPriority w:val="99"/>
    <w:semiHidden/>
    <w:unhideWhenUsed/>
    <w:rsid w:val="00001169"/>
    <w:pPr>
      <w:spacing w:after="0" w:line="240" w:lineRule="auto"/>
      <w:ind w:left="4252"/>
      <w:jc w:val="both"/>
    </w:pPr>
    <w:rPr>
      <w:rFonts w:ascii="LMRoman12" w:hAnsi="LMRoman12"/>
      <w:lang w:val="en-US"/>
      <w14:ligatures w14:val="standardContextual"/>
    </w:rPr>
  </w:style>
  <w:style w:type="character" w:customStyle="1" w:styleId="SignatureChar">
    <w:name w:val="Signature Char"/>
    <w:basedOn w:val="DefaultParagraphFont"/>
    <w:link w:val="Signature"/>
    <w:uiPriority w:val="99"/>
    <w:semiHidden/>
    <w:rsid w:val="00001169"/>
    <w:rPr>
      <w:rFonts w:ascii="LMRoman12" w:hAnsi="LMRoman12"/>
      <w:lang w:val="en-US"/>
      <w14:ligatures w14:val="standardContextual"/>
    </w:rPr>
  </w:style>
  <w:style w:type="paragraph" w:styleId="TableofAuthorities">
    <w:name w:val="table of authorities"/>
    <w:basedOn w:val="Normal"/>
    <w:next w:val="Normal"/>
    <w:uiPriority w:val="99"/>
    <w:semiHidden/>
    <w:unhideWhenUsed/>
    <w:rsid w:val="00001169"/>
    <w:pPr>
      <w:spacing w:after="0" w:line="240" w:lineRule="auto"/>
      <w:ind w:left="220" w:hanging="220"/>
      <w:jc w:val="both"/>
    </w:pPr>
    <w:rPr>
      <w:rFonts w:ascii="LMRoman12" w:hAnsi="LMRoman12"/>
      <w:lang w:val="en-US"/>
      <w14:ligatures w14:val="standardContextual"/>
    </w:rPr>
  </w:style>
  <w:style w:type="paragraph" w:styleId="Title">
    <w:name w:val="Title"/>
    <w:basedOn w:val="Normal"/>
    <w:next w:val="Normal"/>
    <w:link w:val="TitleChar"/>
    <w:uiPriority w:val="10"/>
    <w:qFormat/>
    <w:rsid w:val="00001169"/>
    <w:pPr>
      <w:spacing w:after="0" w:line="240" w:lineRule="auto"/>
      <w:contextualSpacing/>
      <w:jc w:val="both"/>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001169"/>
    <w:rPr>
      <w:rFonts w:asciiTheme="majorHAnsi" w:eastAsiaTheme="majorEastAsia" w:hAnsiTheme="majorHAnsi" w:cstheme="majorBidi"/>
      <w:spacing w:val="-10"/>
      <w:kern w:val="28"/>
      <w:sz w:val="56"/>
      <w:szCs w:val="56"/>
      <w:lang w:val="en-US"/>
      <w14:ligatures w14:val="standardContextual"/>
    </w:rPr>
  </w:style>
  <w:style w:type="paragraph" w:styleId="TOAHeading">
    <w:name w:val="toa heading"/>
    <w:basedOn w:val="Normal"/>
    <w:next w:val="Normal"/>
    <w:uiPriority w:val="99"/>
    <w:semiHidden/>
    <w:unhideWhenUsed/>
    <w:rsid w:val="00001169"/>
    <w:pPr>
      <w:spacing w:before="120" w:after="0" w:line="240" w:lineRule="auto"/>
      <w:jc w:val="both"/>
    </w:pPr>
    <w:rPr>
      <w:rFonts w:asciiTheme="majorHAnsi" w:eastAsiaTheme="majorEastAsia" w:hAnsiTheme="majorHAnsi" w:cstheme="majorBidi"/>
      <w:b/>
      <w:bCs/>
      <w:sz w:val="24"/>
      <w:szCs w:val="24"/>
      <w:lang w:val="en-US"/>
      <w14:ligatures w14:val="standardContextual"/>
    </w:rPr>
  </w:style>
  <w:style w:type="character" w:customStyle="1" w:styleId="Hidden">
    <w:name w:val="Hidden"/>
    <w:basedOn w:val="DefaultParagraphFont"/>
    <w:uiPriority w:val="1"/>
    <w:qFormat/>
    <w:rsid w:val="00001169"/>
    <w:rPr>
      <w:vanish/>
    </w:rPr>
  </w:style>
  <w:style w:type="character" w:customStyle="1" w:styleId="ListofAlgorithmsChar">
    <w:name w:val="List of Algorithms Char"/>
    <w:basedOn w:val="TableofFiguresChar"/>
    <w:link w:val="ListofAlgorithms"/>
    <w:rsid w:val="00001169"/>
    <w:rPr>
      <w:rFonts w:ascii="LMRoman12" w:hAnsi="LMRoman12"/>
      <w:noProof/>
      <w:lang w:val="en-US"/>
      <w14:ligatures w14:val="standardContextual"/>
    </w:rPr>
  </w:style>
  <w:style w:type="table" w:customStyle="1" w:styleId="TableContainer">
    <w:name w:val="Table Container"/>
    <w:basedOn w:val="TableNormal"/>
    <w:uiPriority w:val="99"/>
    <w:rsid w:val="00001169"/>
    <w:pPr>
      <w:spacing w:after="0" w:line="240" w:lineRule="auto"/>
    </w:pPr>
    <w:rPr>
      <w:lang w:val="sl-SI"/>
    </w:rPr>
    <w:tblPr/>
  </w:style>
  <w:style w:type="character" w:customStyle="1" w:styleId="apple-converted-space">
    <w:name w:val="apple-converted-space"/>
    <w:basedOn w:val="DefaultParagraphFont"/>
    <w:rsid w:val="00001169"/>
  </w:style>
  <w:style w:type="paragraph" w:customStyle="1" w:styleId="IOPAff">
    <w:name w:val="IOPAff"/>
    <w:basedOn w:val="Normal"/>
    <w:link w:val="IOPAffChar"/>
    <w:qFormat/>
    <w:rsid w:val="00001169"/>
    <w:pPr>
      <w:spacing w:after="0" w:line="259" w:lineRule="auto"/>
      <w:ind w:right="2552"/>
    </w:pPr>
    <w:rPr>
      <w:rFonts w:ascii="Times New Roman" w:eastAsia="Calibri" w:hAnsi="Times New Roman" w:cs="Times New Roman"/>
      <w:sz w:val="18"/>
      <w:szCs w:val="18"/>
    </w:rPr>
  </w:style>
  <w:style w:type="character" w:customStyle="1" w:styleId="IOPAffChar">
    <w:name w:val="IOPAff Char"/>
    <w:link w:val="IOPAff"/>
    <w:rsid w:val="00001169"/>
    <w:rPr>
      <w:rFonts w:ascii="Times New Roman" w:eastAsia="Calibri" w:hAnsi="Times New Roman" w:cs="Times New Roman"/>
      <w:sz w:val="18"/>
      <w:szCs w:val="18"/>
    </w:rPr>
  </w:style>
  <w:style w:type="character" w:customStyle="1" w:styleId="oypena">
    <w:name w:val="oypena"/>
    <w:basedOn w:val="DefaultParagraphFont"/>
    <w:rsid w:val="00001169"/>
  </w:style>
  <w:style w:type="character" w:customStyle="1" w:styleId="sr-only">
    <w:name w:val="sr-only"/>
    <w:basedOn w:val="DefaultParagraphFont"/>
    <w:rsid w:val="005E38EF"/>
  </w:style>
  <w:style w:type="character" w:customStyle="1" w:styleId="list-content">
    <w:name w:val="list-content"/>
    <w:basedOn w:val="DefaultParagraphFont"/>
    <w:rsid w:val="005E38EF"/>
  </w:style>
  <w:style w:type="character" w:customStyle="1" w:styleId="list-label">
    <w:name w:val="list-label"/>
    <w:basedOn w:val="DefaultParagraphFont"/>
    <w:rsid w:val="005E38EF"/>
  </w:style>
  <w:style w:type="character" w:customStyle="1" w:styleId="y2iqfc">
    <w:name w:val="y2iqfc"/>
    <w:basedOn w:val="DefaultParagraphFont"/>
    <w:rsid w:val="005E38EF"/>
  </w:style>
  <w:style w:type="paragraph" w:customStyle="1" w:styleId="IOPText">
    <w:name w:val="IOPText"/>
    <w:basedOn w:val="Normal"/>
    <w:link w:val="IOPTextChar"/>
    <w:qFormat/>
    <w:rsid w:val="005E38EF"/>
    <w:pPr>
      <w:spacing w:after="0" w:line="259" w:lineRule="auto"/>
      <w:ind w:firstLine="227"/>
      <w:jc w:val="both"/>
    </w:pPr>
    <w:rPr>
      <w:rFonts w:ascii="Times New Roman" w:eastAsia="Calibri" w:hAnsi="Times New Roman" w:cs="Times New Roman"/>
      <w:sz w:val="20"/>
    </w:rPr>
  </w:style>
  <w:style w:type="character" w:customStyle="1" w:styleId="IOPTextChar">
    <w:name w:val="IOPText Char"/>
    <w:link w:val="IOPText"/>
    <w:rsid w:val="005E38EF"/>
    <w:rPr>
      <w:rFonts w:ascii="Times New Roman" w:eastAsia="Calibri" w:hAnsi="Times New Roman" w:cs="Times New Roman"/>
      <w:sz w:val="20"/>
    </w:rPr>
  </w:style>
  <w:style w:type="paragraph" w:customStyle="1" w:styleId="IOPAbsText">
    <w:name w:val="IOPAbsText"/>
    <w:basedOn w:val="Normal"/>
    <w:link w:val="IOPAbsTextChar"/>
    <w:qFormat/>
    <w:rsid w:val="005E38EF"/>
    <w:pPr>
      <w:spacing w:after="0" w:line="259" w:lineRule="auto"/>
      <w:ind w:right="2552"/>
    </w:pPr>
    <w:rPr>
      <w:rFonts w:ascii="Times New Roman" w:eastAsia="Calibri" w:hAnsi="Times New Roman" w:cs="Times New Roman"/>
      <w:sz w:val="20"/>
    </w:rPr>
  </w:style>
  <w:style w:type="character" w:customStyle="1" w:styleId="IOPAbsTextChar">
    <w:name w:val="IOPAbsText Char"/>
    <w:link w:val="IOPAbsText"/>
    <w:rsid w:val="005E38EF"/>
    <w:rPr>
      <w:rFonts w:ascii="Times New Roman" w:eastAsia="Calibri" w:hAnsi="Times New Roman" w:cs="Times New Roman"/>
      <w:sz w:val="20"/>
    </w:rPr>
  </w:style>
  <w:style w:type="paragraph" w:customStyle="1" w:styleId="oj-normal">
    <w:name w:val="oj-normal"/>
    <w:basedOn w:val="Normal"/>
    <w:rsid w:val="005E38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5E38EF"/>
  </w:style>
  <w:style w:type="character" w:customStyle="1" w:styleId="ls9">
    <w:name w:val="ls9"/>
    <w:basedOn w:val="DefaultParagraphFont"/>
    <w:rsid w:val="000C1A7D"/>
  </w:style>
  <w:style w:type="character" w:customStyle="1" w:styleId="ls5">
    <w:name w:val="ls5"/>
    <w:basedOn w:val="DefaultParagraphFont"/>
    <w:rsid w:val="000C1A7D"/>
  </w:style>
  <w:style w:type="character" w:customStyle="1" w:styleId="lsa">
    <w:name w:val="lsa"/>
    <w:basedOn w:val="DefaultParagraphFont"/>
    <w:rsid w:val="000C1A7D"/>
  </w:style>
  <w:style w:type="character" w:customStyle="1" w:styleId="ls2a">
    <w:name w:val="ls2a"/>
    <w:basedOn w:val="DefaultParagraphFont"/>
    <w:rsid w:val="000C1A7D"/>
  </w:style>
  <w:style w:type="character" w:customStyle="1" w:styleId="ls3">
    <w:name w:val="ls3"/>
    <w:basedOn w:val="DefaultParagraphFont"/>
    <w:rsid w:val="000C1A7D"/>
  </w:style>
  <w:style w:type="character" w:customStyle="1" w:styleId="lsc">
    <w:name w:val="lsc"/>
    <w:basedOn w:val="DefaultParagraphFont"/>
    <w:rsid w:val="000C1A7D"/>
  </w:style>
  <w:style w:type="character" w:customStyle="1" w:styleId="lsd">
    <w:name w:val="lsd"/>
    <w:basedOn w:val="DefaultParagraphFont"/>
    <w:rsid w:val="000C1A7D"/>
  </w:style>
  <w:style w:type="character" w:customStyle="1" w:styleId="lse">
    <w:name w:val="lse"/>
    <w:basedOn w:val="DefaultParagraphFont"/>
    <w:rsid w:val="000C1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1870">
      <w:bodyDiv w:val="1"/>
      <w:marLeft w:val="0"/>
      <w:marRight w:val="0"/>
      <w:marTop w:val="0"/>
      <w:marBottom w:val="0"/>
      <w:divBdr>
        <w:top w:val="none" w:sz="0" w:space="0" w:color="auto"/>
        <w:left w:val="none" w:sz="0" w:space="0" w:color="auto"/>
        <w:bottom w:val="none" w:sz="0" w:space="0" w:color="auto"/>
        <w:right w:val="none" w:sz="0" w:space="0" w:color="auto"/>
      </w:divBdr>
    </w:div>
    <w:div w:id="59905227">
      <w:bodyDiv w:val="1"/>
      <w:marLeft w:val="0"/>
      <w:marRight w:val="0"/>
      <w:marTop w:val="0"/>
      <w:marBottom w:val="0"/>
      <w:divBdr>
        <w:top w:val="none" w:sz="0" w:space="0" w:color="auto"/>
        <w:left w:val="none" w:sz="0" w:space="0" w:color="auto"/>
        <w:bottom w:val="none" w:sz="0" w:space="0" w:color="auto"/>
        <w:right w:val="none" w:sz="0" w:space="0" w:color="auto"/>
      </w:divBdr>
      <w:divsChild>
        <w:div w:id="657348471">
          <w:marLeft w:val="0"/>
          <w:marRight w:val="0"/>
          <w:marTop w:val="0"/>
          <w:marBottom w:val="0"/>
          <w:divBdr>
            <w:top w:val="none" w:sz="0" w:space="0" w:color="auto"/>
            <w:left w:val="none" w:sz="0" w:space="0" w:color="auto"/>
            <w:bottom w:val="none" w:sz="0" w:space="0" w:color="auto"/>
            <w:right w:val="none" w:sz="0" w:space="0" w:color="auto"/>
          </w:divBdr>
        </w:div>
        <w:div w:id="1518929840">
          <w:marLeft w:val="0"/>
          <w:marRight w:val="0"/>
          <w:marTop w:val="0"/>
          <w:marBottom w:val="0"/>
          <w:divBdr>
            <w:top w:val="single" w:sz="2" w:space="0" w:color="E3E3E3"/>
            <w:left w:val="single" w:sz="2" w:space="0" w:color="E3E3E3"/>
            <w:bottom w:val="single" w:sz="2" w:space="0" w:color="E3E3E3"/>
            <w:right w:val="single" w:sz="2" w:space="0" w:color="E3E3E3"/>
          </w:divBdr>
          <w:divsChild>
            <w:div w:id="843128179">
              <w:marLeft w:val="0"/>
              <w:marRight w:val="0"/>
              <w:marTop w:val="0"/>
              <w:marBottom w:val="0"/>
              <w:divBdr>
                <w:top w:val="single" w:sz="2" w:space="0" w:color="E3E3E3"/>
                <w:left w:val="single" w:sz="2" w:space="0" w:color="E3E3E3"/>
                <w:bottom w:val="single" w:sz="2" w:space="0" w:color="E3E3E3"/>
                <w:right w:val="single" w:sz="2" w:space="0" w:color="E3E3E3"/>
              </w:divBdr>
              <w:divsChild>
                <w:div w:id="511535213">
                  <w:marLeft w:val="0"/>
                  <w:marRight w:val="0"/>
                  <w:marTop w:val="0"/>
                  <w:marBottom w:val="0"/>
                  <w:divBdr>
                    <w:top w:val="single" w:sz="2" w:space="0" w:color="E3E3E3"/>
                    <w:left w:val="single" w:sz="2" w:space="0" w:color="E3E3E3"/>
                    <w:bottom w:val="single" w:sz="2" w:space="0" w:color="E3E3E3"/>
                    <w:right w:val="single" w:sz="2" w:space="0" w:color="E3E3E3"/>
                  </w:divBdr>
                  <w:divsChild>
                    <w:div w:id="1471941266">
                      <w:marLeft w:val="0"/>
                      <w:marRight w:val="0"/>
                      <w:marTop w:val="0"/>
                      <w:marBottom w:val="0"/>
                      <w:divBdr>
                        <w:top w:val="single" w:sz="2" w:space="0" w:color="E3E3E3"/>
                        <w:left w:val="single" w:sz="2" w:space="0" w:color="E3E3E3"/>
                        <w:bottom w:val="single" w:sz="2" w:space="0" w:color="E3E3E3"/>
                        <w:right w:val="single" w:sz="2" w:space="0" w:color="E3E3E3"/>
                      </w:divBdr>
                      <w:divsChild>
                        <w:div w:id="1812599551">
                          <w:marLeft w:val="0"/>
                          <w:marRight w:val="0"/>
                          <w:marTop w:val="0"/>
                          <w:marBottom w:val="0"/>
                          <w:divBdr>
                            <w:top w:val="single" w:sz="2" w:space="0" w:color="E3E3E3"/>
                            <w:left w:val="single" w:sz="2" w:space="0" w:color="E3E3E3"/>
                            <w:bottom w:val="single" w:sz="2" w:space="0" w:color="E3E3E3"/>
                            <w:right w:val="single" w:sz="2" w:space="0" w:color="E3E3E3"/>
                          </w:divBdr>
                          <w:divsChild>
                            <w:div w:id="522666271">
                              <w:marLeft w:val="0"/>
                              <w:marRight w:val="0"/>
                              <w:marTop w:val="100"/>
                              <w:marBottom w:val="100"/>
                              <w:divBdr>
                                <w:top w:val="single" w:sz="2" w:space="0" w:color="E3E3E3"/>
                                <w:left w:val="single" w:sz="2" w:space="0" w:color="E3E3E3"/>
                                <w:bottom w:val="single" w:sz="2" w:space="0" w:color="E3E3E3"/>
                                <w:right w:val="single" w:sz="2" w:space="0" w:color="E3E3E3"/>
                              </w:divBdr>
                              <w:divsChild>
                                <w:div w:id="2117165824">
                                  <w:marLeft w:val="0"/>
                                  <w:marRight w:val="0"/>
                                  <w:marTop w:val="0"/>
                                  <w:marBottom w:val="0"/>
                                  <w:divBdr>
                                    <w:top w:val="single" w:sz="2" w:space="0" w:color="E3E3E3"/>
                                    <w:left w:val="single" w:sz="2" w:space="0" w:color="E3E3E3"/>
                                    <w:bottom w:val="single" w:sz="2" w:space="0" w:color="E3E3E3"/>
                                    <w:right w:val="single" w:sz="2" w:space="0" w:color="E3E3E3"/>
                                  </w:divBdr>
                                  <w:divsChild>
                                    <w:div w:id="231239197">
                                      <w:marLeft w:val="0"/>
                                      <w:marRight w:val="0"/>
                                      <w:marTop w:val="0"/>
                                      <w:marBottom w:val="0"/>
                                      <w:divBdr>
                                        <w:top w:val="single" w:sz="2" w:space="0" w:color="E3E3E3"/>
                                        <w:left w:val="single" w:sz="2" w:space="0" w:color="E3E3E3"/>
                                        <w:bottom w:val="single" w:sz="2" w:space="0" w:color="E3E3E3"/>
                                        <w:right w:val="single" w:sz="2" w:space="0" w:color="E3E3E3"/>
                                      </w:divBdr>
                                      <w:divsChild>
                                        <w:div w:id="1075124900">
                                          <w:marLeft w:val="0"/>
                                          <w:marRight w:val="0"/>
                                          <w:marTop w:val="0"/>
                                          <w:marBottom w:val="0"/>
                                          <w:divBdr>
                                            <w:top w:val="single" w:sz="2" w:space="0" w:color="E3E3E3"/>
                                            <w:left w:val="single" w:sz="2" w:space="0" w:color="E3E3E3"/>
                                            <w:bottom w:val="single" w:sz="2" w:space="0" w:color="E3E3E3"/>
                                            <w:right w:val="single" w:sz="2" w:space="0" w:color="E3E3E3"/>
                                          </w:divBdr>
                                          <w:divsChild>
                                            <w:div w:id="1535315240">
                                              <w:marLeft w:val="0"/>
                                              <w:marRight w:val="0"/>
                                              <w:marTop w:val="0"/>
                                              <w:marBottom w:val="0"/>
                                              <w:divBdr>
                                                <w:top w:val="single" w:sz="2" w:space="0" w:color="E3E3E3"/>
                                                <w:left w:val="single" w:sz="2" w:space="0" w:color="E3E3E3"/>
                                                <w:bottom w:val="single" w:sz="2" w:space="0" w:color="E3E3E3"/>
                                                <w:right w:val="single" w:sz="2" w:space="0" w:color="E3E3E3"/>
                                              </w:divBdr>
                                              <w:divsChild>
                                                <w:div w:id="1974096988">
                                                  <w:marLeft w:val="0"/>
                                                  <w:marRight w:val="0"/>
                                                  <w:marTop w:val="0"/>
                                                  <w:marBottom w:val="0"/>
                                                  <w:divBdr>
                                                    <w:top w:val="single" w:sz="2" w:space="0" w:color="E3E3E3"/>
                                                    <w:left w:val="single" w:sz="2" w:space="0" w:color="E3E3E3"/>
                                                    <w:bottom w:val="single" w:sz="2" w:space="0" w:color="E3E3E3"/>
                                                    <w:right w:val="single" w:sz="2" w:space="0" w:color="E3E3E3"/>
                                                  </w:divBdr>
                                                  <w:divsChild>
                                                    <w:div w:id="564149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556267">
      <w:bodyDiv w:val="1"/>
      <w:marLeft w:val="0"/>
      <w:marRight w:val="0"/>
      <w:marTop w:val="0"/>
      <w:marBottom w:val="0"/>
      <w:divBdr>
        <w:top w:val="none" w:sz="0" w:space="0" w:color="auto"/>
        <w:left w:val="none" w:sz="0" w:space="0" w:color="auto"/>
        <w:bottom w:val="none" w:sz="0" w:space="0" w:color="auto"/>
        <w:right w:val="none" w:sz="0" w:space="0" w:color="auto"/>
      </w:divBdr>
      <w:divsChild>
        <w:div w:id="444884097">
          <w:marLeft w:val="0"/>
          <w:marRight w:val="0"/>
          <w:marTop w:val="0"/>
          <w:marBottom w:val="0"/>
          <w:divBdr>
            <w:top w:val="single" w:sz="2" w:space="0" w:color="D9D9E3"/>
            <w:left w:val="single" w:sz="2" w:space="0" w:color="D9D9E3"/>
            <w:bottom w:val="single" w:sz="2" w:space="0" w:color="D9D9E3"/>
            <w:right w:val="single" w:sz="2" w:space="0" w:color="D9D9E3"/>
          </w:divBdr>
          <w:divsChild>
            <w:div w:id="1969430908">
              <w:marLeft w:val="0"/>
              <w:marRight w:val="0"/>
              <w:marTop w:val="0"/>
              <w:marBottom w:val="0"/>
              <w:divBdr>
                <w:top w:val="single" w:sz="2" w:space="0" w:color="D9D9E3"/>
                <w:left w:val="single" w:sz="2" w:space="0" w:color="D9D9E3"/>
                <w:bottom w:val="single" w:sz="2" w:space="0" w:color="D9D9E3"/>
                <w:right w:val="single" w:sz="2" w:space="0" w:color="D9D9E3"/>
              </w:divBdr>
              <w:divsChild>
                <w:div w:id="410352872">
                  <w:marLeft w:val="0"/>
                  <w:marRight w:val="0"/>
                  <w:marTop w:val="0"/>
                  <w:marBottom w:val="0"/>
                  <w:divBdr>
                    <w:top w:val="single" w:sz="2" w:space="0" w:color="D9D9E3"/>
                    <w:left w:val="single" w:sz="2" w:space="0" w:color="D9D9E3"/>
                    <w:bottom w:val="single" w:sz="2" w:space="0" w:color="D9D9E3"/>
                    <w:right w:val="single" w:sz="2" w:space="0" w:color="D9D9E3"/>
                  </w:divBdr>
                  <w:divsChild>
                    <w:div w:id="1367828675">
                      <w:marLeft w:val="0"/>
                      <w:marRight w:val="0"/>
                      <w:marTop w:val="0"/>
                      <w:marBottom w:val="0"/>
                      <w:divBdr>
                        <w:top w:val="single" w:sz="2" w:space="0" w:color="D9D9E3"/>
                        <w:left w:val="single" w:sz="2" w:space="0" w:color="D9D9E3"/>
                        <w:bottom w:val="single" w:sz="2" w:space="0" w:color="D9D9E3"/>
                        <w:right w:val="single" w:sz="2" w:space="0" w:color="D9D9E3"/>
                      </w:divBdr>
                      <w:divsChild>
                        <w:div w:id="1361273471">
                          <w:marLeft w:val="0"/>
                          <w:marRight w:val="0"/>
                          <w:marTop w:val="0"/>
                          <w:marBottom w:val="0"/>
                          <w:divBdr>
                            <w:top w:val="single" w:sz="2" w:space="0" w:color="D9D9E3"/>
                            <w:left w:val="single" w:sz="2" w:space="0" w:color="D9D9E3"/>
                            <w:bottom w:val="single" w:sz="2" w:space="0" w:color="D9D9E3"/>
                            <w:right w:val="single" w:sz="2" w:space="0" w:color="D9D9E3"/>
                          </w:divBdr>
                          <w:divsChild>
                            <w:div w:id="561524308">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942521">
                                  <w:marLeft w:val="0"/>
                                  <w:marRight w:val="0"/>
                                  <w:marTop w:val="0"/>
                                  <w:marBottom w:val="0"/>
                                  <w:divBdr>
                                    <w:top w:val="single" w:sz="2" w:space="0" w:color="D9D9E3"/>
                                    <w:left w:val="single" w:sz="2" w:space="0" w:color="D9D9E3"/>
                                    <w:bottom w:val="single" w:sz="2" w:space="0" w:color="D9D9E3"/>
                                    <w:right w:val="single" w:sz="2" w:space="0" w:color="D9D9E3"/>
                                  </w:divBdr>
                                  <w:divsChild>
                                    <w:div w:id="345058607">
                                      <w:marLeft w:val="0"/>
                                      <w:marRight w:val="0"/>
                                      <w:marTop w:val="0"/>
                                      <w:marBottom w:val="0"/>
                                      <w:divBdr>
                                        <w:top w:val="single" w:sz="2" w:space="0" w:color="D9D9E3"/>
                                        <w:left w:val="single" w:sz="2" w:space="0" w:color="D9D9E3"/>
                                        <w:bottom w:val="single" w:sz="2" w:space="0" w:color="D9D9E3"/>
                                        <w:right w:val="single" w:sz="2" w:space="0" w:color="D9D9E3"/>
                                      </w:divBdr>
                                      <w:divsChild>
                                        <w:div w:id="741217148">
                                          <w:marLeft w:val="0"/>
                                          <w:marRight w:val="0"/>
                                          <w:marTop w:val="0"/>
                                          <w:marBottom w:val="0"/>
                                          <w:divBdr>
                                            <w:top w:val="single" w:sz="2" w:space="0" w:color="D9D9E3"/>
                                            <w:left w:val="single" w:sz="2" w:space="0" w:color="D9D9E3"/>
                                            <w:bottom w:val="single" w:sz="2" w:space="0" w:color="D9D9E3"/>
                                            <w:right w:val="single" w:sz="2" w:space="0" w:color="D9D9E3"/>
                                          </w:divBdr>
                                          <w:divsChild>
                                            <w:div w:id="245651987">
                                              <w:marLeft w:val="0"/>
                                              <w:marRight w:val="0"/>
                                              <w:marTop w:val="0"/>
                                              <w:marBottom w:val="0"/>
                                              <w:divBdr>
                                                <w:top w:val="single" w:sz="2" w:space="0" w:color="D9D9E3"/>
                                                <w:left w:val="single" w:sz="2" w:space="0" w:color="D9D9E3"/>
                                                <w:bottom w:val="single" w:sz="2" w:space="0" w:color="D9D9E3"/>
                                                <w:right w:val="single" w:sz="2" w:space="0" w:color="D9D9E3"/>
                                              </w:divBdr>
                                              <w:divsChild>
                                                <w:div w:id="1537230396">
                                                  <w:marLeft w:val="0"/>
                                                  <w:marRight w:val="0"/>
                                                  <w:marTop w:val="0"/>
                                                  <w:marBottom w:val="0"/>
                                                  <w:divBdr>
                                                    <w:top w:val="single" w:sz="2" w:space="0" w:color="D9D9E3"/>
                                                    <w:left w:val="single" w:sz="2" w:space="0" w:color="D9D9E3"/>
                                                    <w:bottom w:val="single" w:sz="2" w:space="0" w:color="D9D9E3"/>
                                                    <w:right w:val="single" w:sz="2" w:space="0" w:color="D9D9E3"/>
                                                  </w:divBdr>
                                                  <w:divsChild>
                                                    <w:div w:id="13750360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86714003">
          <w:marLeft w:val="0"/>
          <w:marRight w:val="0"/>
          <w:marTop w:val="0"/>
          <w:marBottom w:val="0"/>
          <w:divBdr>
            <w:top w:val="none" w:sz="0" w:space="0" w:color="auto"/>
            <w:left w:val="none" w:sz="0" w:space="0" w:color="auto"/>
            <w:bottom w:val="none" w:sz="0" w:space="0" w:color="auto"/>
            <w:right w:val="none" w:sz="0" w:space="0" w:color="auto"/>
          </w:divBdr>
        </w:div>
      </w:divsChild>
    </w:div>
    <w:div w:id="112096886">
      <w:bodyDiv w:val="1"/>
      <w:marLeft w:val="0"/>
      <w:marRight w:val="0"/>
      <w:marTop w:val="0"/>
      <w:marBottom w:val="0"/>
      <w:divBdr>
        <w:top w:val="none" w:sz="0" w:space="0" w:color="auto"/>
        <w:left w:val="none" w:sz="0" w:space="0" w:color="auto"/>
        <w:bottom w:val="none" w:sz="0" w:space="0" w:color="auto"/>
        <w:right w:val="none" w:sz="0" w:space="0" w:color="auto"/>
      </w:divBdr>
    </w:div>
    <w:div w:id="132527838">
      <w:bodyDiv w:val="1"/>
      <w:marLeft w:val="0"/>
      <w:marRight w:val="0"/>
      <w:marTop w:val="0"/>
      <w:marBottom w:val="0"/>
      <w:divBdr>
        <w:top w:val="none" w:sz="0" w:space="0" w:color="auto"/>
        <w:left w:val="none" w:sz="0" w:space="0" w:color="auto"/>
        <w:bottom w:val="none" w:sz="0" w:space="0" w:color="auto"/>
        <w:right w:val="none" w:sz="0" w:space="0" w:color="auto"/>
      </w:divBdr>
    </w:div>
    <w:div w:id="135072774">
      <w:bodyDiv w:val="1"/>
      <w:marLeft w:val="0"/>
      <w:marRight w:val="0"/>
      <w:marTop w:val="0"/>
      <w:marBottom w:val="0"/>
      <w:divBdr>
        <w:top w:val="none" w:sz="0" w:space="0" w:color="auto"/>
        <w:left w:val="none" w:sz="0" w:space="0" w:color="auto"/>
        <w:bottom w:val="none" w:sz="0" w:space="0" w:color="auto"/>
        <w:right w:val="none" w:sz="0" w:space="0" w:color="auto"/>
      </w:divBdr>
    </w:div>
    <w:div w:id="205265095">
      <w:bodyDiv w:val="1"/>
      <w:marLeft w:val="0"/>
      <w:marRight w:val="0"/>
      <w:marTop w:val="0"/>
      <w:marBottom w:val="0"/>
      <w:divBdr>
        <w:top w:val="none" w:sz="0" w:space="0" w:color="auto"/>
        <w:left w:val="none" w:sz="0" w:space="0" w:color="auto"/>
        <w:bottom w:val="none" w:sz="0" w:space="0" w:color="auto"/>
        <w:right w:val="none" w:sz="0" w:space="0" w:color="auto"/>
      </w:divBdr>
    </w:div>
    <w:div w:id="226767274">
      <w:bodyDiv w:val="1"/>
      <w:marLeft w:val="0"/>
      <w:marRight w:val="0"/>
      <w:marTop w:val="0"/>
      <w:marBottom w:val="0"/>
      <w:divBdr>
        <w:top w:val="none" w:sz="0" w:space="0" w:color="auto"/>
        <w:left w:val="none" w:sz="0" w:space="0" w:color="auto"/>
        <w:bottom w:val="none" w:sz="0" w:space="0" w:color="auto"/>
        <w:right w:val="none" w:sz="0" w:space="0" w:color="auto"/>
      </w:divBdr>
    </w:div>
    <w:div w:id="230046007">
      <w:bodyDiv w:val="1"/>
      <w:marLeft w:val="0"/>
      <w:marRight w:val="0"/>
      <w:marTop w:val="0"/>
      <w:marBottom w:val="0"/>
      <w:divBdr>
        <w:top w:val="none" w:sz="0" w:space="0" w:color="auto"/>
        <w:left w:val="none" w:sz="0" w:space="0" w:color="auto"/>
        <w:bottom w:val="none" w:sz="0" w:space="0" w:color="auto"/>
        <w:right w:val="none" w:sz="0" w:space="0" w:color="auto"/>
      </w:divBdr>
    </w:div>
    <w:div w:id="259333144">
      <w:bodyDiv w:val="1"/>
      <w:marLeft w:val="0"/>
      <w:marRight w:val="0"/>
      <w:marTop w:val="0"/>
      <w:marBottom w:val="0"/>
      <w:divBdr>
        <w:top w:val="none" w:sz="0" w:space="0" w:color="auto"/>
        <w:left w:val="none" w:sz="0" w:space="0" w:color="auto"/>
        <w:bottom w:val="none" w:sz="0" w:space="0" w:color="auto"/>
        <w:right w:val="none" w:sz="0" w:space="0" w:color="auto"/>
      </w:divBdr>
    </w:div>
    <w:div w:id="265699501">
      <w:bodyDiv w:val="1"/>
      <w:marLeft w:val="0"/>
      <w:marRight w:val="0"/>
      <w:marTop w:val="0"/>
      <w:marBottom w:val="0"/>
      <w:divBdr>
        <w:top w:val="none" w:sz="0" w:space="0" w:color="auto"/>
        <w:left w:val="none" w:sz="0" w:space="0" w:color="auto"/>
        <w:bottom w:val="none" w:sz="0" w:space="0" w:color="auto"/>
        <w:right w:val="none" w:sz="0" w:space="0" w:color="auto"/>
      </w:divBdr>
    </w:div>
    <w:div w:id="272593453">
      <w:bodyDiv w:val="1"/>
      <w:marLeft w:val="0"/>
      <w:marRight w:val="0"/>
      <w:marTop w:val="0"/>
      <w:marBottom w:val="0"/>
      <w:divBdr>
        <w:top w:val="none" w:sz="0" w:space="0" w:color="auto"/>
        <w:left w:val="none" w:sz="0" w:space="0" w:color="auto"/>
        <w:bottom w:val="none" w:sz="0" w:space="0" w:color="auto"/>
        <w:right w:val="none" w:sz="0" w:space="0" w:color="auto"/>
      </w:divBdr>
      <w:divsChild>
        <w:div w:id="491918133">
          <w:marLeft w:val="0"/>
          <w:marRight w:val="0"/>
          <w:marTop w:val="0"/>
          <w:marBottom w:val="0"/>
          <w:divBdr>
            <w:top w:val="single" w:sz="2" w:space="0" w:color="E3E3E3"/>
            <w:left w:val="single" w:sz="2" w:space="0" w:color="E3E3E3"/>
            <w:bottom w:val="single" w:sz="2" w:space="0" w:color="E3E3E3"/>
            <w:right w:val="single" w:sz="2" w:space="0" w:color="E3E3E3"/>
          </w:divBdr>
          <w:divsChild>
            <w:div w:id="1296831203">
              <w:marLeft w:val="0"/>
              <w:marRight w:val="0"/>
              <w:marTop w:val="0"/>
              <w:marBottom w:val="0"/>
              <w:divBdr>
                <w:top w:val="single" w:sz="2" w:space="0" w:color="E3E3E3"/>
                <w:left w:val="single" w:sz="2" w:space="0" w:color="E3E3E3"/>
                <w:bottom w:val="single" w:sz="2" w:space="0" w:color="E3E3E3"/>
                <w:right w:val="single" w:sz="2" w:space="0" w:color="E3E3E3"/>
              </w:divBdr>
              <w:divsChild>
                <w:div w:id="1525706932">
                  <w:marLeft w:val="0"/>
                  <w:marRight w:val="0"/>
                  <w:marTop w:val="0"/>
                  <w:marBottom w:val="0"/>
                  <w:divBdr>
                    <w:top w:val="single" w:sz="2" w:space="0" w:color="E3E3E3"/>
                    <w:left w:val="single" w:sz="2" w:space="0" w:color="E3E3E3"/>
                    <w:bottom w:val="single" w:sz="2" w:space="0" w:color="E3E3E3"/>
                    <w:right w:val="single" w:sz="2" w:space="0" w:color="E3E3E3"/>
                  </w:divBdr>
                  <w:divsChild>
                    <w:div w:id="1066301451">
                      <w:marLeft w:val="0"/>
                      <w:marRight w:val="0"/>
                      <w:marTop w:val="0"/>
                      <w:marBottom w:val="0"/>
                      <w:divBdr>
                        <w:top w:val="single" w:sz="2" w:space="0" w:color="E3E3E3"/>
                        <w:left w:val="single" w:sz="2" w:space="0" w:color="E3E3E3"/>
                        <w:bottom w:val="single" w:sz="2" w:space="0" w:color="E3E3E3"/>
                        <w:right w:val="single" w:sz="2" w:space="0" w:color="E3E3E3"/>
                      </w:divBdr>
                      <w:divsChild>
                        <w:div w:id="1346908769">
                          <w:marLeft w:val="0"/>
                          <w:marRight w:val="0"/>
                          <w:marTop w:val="0"/>
                          <w:marBottom w:val="0"/>
                          <w:divBdr>
                            <w:top w:val="single" w:sz="2" w:space="0" w:color="E3E3E3"/>
                            <w:left w:val="single" w:sz="2" w:space="0" w:color="E3E3E3"/>
                            <w:bottom w:val="single" w:sz="2" w:space="0" w:color="E3E3E3"/>
                            <w:right w:val="single" w:sz="2" w:space="0" w:color="E3E3E3"/>
                          </w:divBdr>
                          <w:divsChild>
                            <w:div w:id="1602571848">
                              <w:marLeft w:val="0"/>
                              <w:marRight w:val="0"/>
                              <w:marTop w:val="100"/>
                              <w:marBottom w:val="100"/>
                              <w:divBdr>
                                <w:top w:val="single" w:sz="2" w:space="0" w:color="E3E3E3"/>
                                <w:left w:val="single" w:sz="2" w:space="0" w:color="E3E3E3"/>
                                <w:bottom w:val="single" w:sz="2" w:space="0" w:color="E3E3E3"/>
                                <w:right w:val="single" w:sz="2" w:space="0" w:color="E3E3E3"/>
                              </w:divBdr>
                              <w:divsChild>
                                <w:div w:id="2067800652">
                                  <w:marLeft w:val="0"/>
                                  <w:marRight w:val="0"/>
                                  <w:marTop w:val="0"/>
                                  <w:marBottom w:val="0"/>
                                  <w:divBdr>
                                    <w:top w:val="single" w:sz="2" w:space="0" w:color="E3E3E3"/>
                                    <w:left w:val="single" w:sz="2" w:space="0" w:color="E3E3E3"/>
                                    <w:bottom w:val="single" w:sz="2" w:space="0" w:color="E3E3E3"/>
                                    <w:right w:val="single" w:sz="2" w:space="0" w:color="E3E3E3"/>
                                  </w:divBdr>
                                  <w:divsChild>
                                    <w:div w:id="1669677437">
                                      <w:marLeft w:val="0"/>
                                      <w:marRight w:val="0"/>
                                      <w:marTop w:val="0"/>
                                      <w:marBottom w:val="0"/>
                                      <w:divBdr>
                                        <w:top w:val="single" w:sz="2" w:space="0" w:color="E3E3E3"/>
                                        <w:left w:val="single" w:sz="2" w:space="0" w:color="E3E3E3"/>
                                        <w:bottom w:val="single" w:sz="2" w:space="0" w:color="E3E3E3"/>
                                        <w:right w:val="single" w:sz="2" w:space="0" w:color="E3E3E3"/>
                                      </w:divBdr>
                                      <w:divsChild>
                                        <w:div w:id="214045723">
                                          <w:marLeft w:val="0"/>
                                          <w:marRight w:val="0"/>
                                          <w:marTop w:val="0"/>
                                          <w:marBottom w:val="0"/>
                                          <w:divBdr>
                                            <w:top w:val="single" w:sz="2" w:space="0" w:color="E3E3E3"/>
                                            <w:left w:val="single" w:sz="2" w:space="0" w:color="E3E3E3"/>
                                            <w:bottom w:val="single" w:sz="2" w:space="0" w:color="E3E3E3"/>
                                            <w:right w:val="single" w:sz="2" w:space="0" w:color="E3E3E3"/>
                                          </w:divBdr>
                                          <w:divsChild>
                                            <w:div w:id="1785611543">
                                              <w:marLeft w:val="0"/>
                                              <w:marRight w:val="0"/>
                                              <w:marTop w:val="0"/>
                                              <w:marBottom w:val="0"/>
                                              <w:divBdr>
                                                <w:top w:val="single" w:sz="2" w:space="0" w:color="E3E3E3"/>
                                                <w:left w:val="single" w:sz="2" w:space="0" w:color="E3E3E3"/>
                                                <w:bottom w:val="single" w:sz="2" w:space="0" w:color="E3E3E3"/>
                                                <w:right w:val="single" w:sz="2" w:space="0" w:color="E3E3E3"/>
                                              </w:divBdr>
                                              <w:divsChild>
                                                <w:div w:id="1297565377">
                                                  <w:marLeft w:val="0"/>
                                                  <w:marRight w:val="0"/>
                                                  <w:marTop w:val="0"/>
                                                  <w:marBottom w:val="0"/>
                                                  <w:divBdr>
                                                    <w:top w:val="single" w:sz="2" w:space="0" w:color="E3E3E3"/>
                                                    <w:left w:val="single" w:sz="2" w:space="0" w:color="E3E3E3"/>
                                                    <w:bottom w:val="single" w:sz="2" w:space="0" w:color="E3E3E3"/>
                                                    <w:right w:val="single" w:sz="2" w:space="0" w:color="E3E3E3"/>
                                                  </w:divBdr>
                                                  <w:divsChild>
                                                    <w:div w:id="1644849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15307124">
          <w:marLeft w:val="0"/>
          <w:marRight w:val="0"/>
          <w:marTop w:val="0"/>
          <w:marBottom w:val="0"/>
          <w:divBdr>
            <w:top w:val="none" w:sz="0" w:space="0" w:color="auto"/>
            <w:left w:val="none" w:sz="0" w:space="0" w:color="auto"/>
            <w:bottom w:val="none" w:sz="0" w:space="0" w:color="auto"/>
            <w:right w:val="none" w:sz="0" w:space="0" w:color="auto"/>
          </w:divBdr>
        </w:div>
      </w:divsChild>
    </w:div>
    <w:div w:id="302849339">
      <w:bodyDiv w:val="1"/>
      <w:marLeft w:val="0"/>
      <w:marRight w:val="0"/>
      <w:marTop w:val="0"/>
      <w:marBottom w:val="0"/>
      <w:divBdr>
        <w:top w:val="none" w:sz="0" w:space="0" w:color="auto"/>
        <w:left w:val="none" w:sz="0" w:space="0" w:color="auto"/>
        <w:bottom w:val="none" w:sz="0" w:space="0" w:color="auto"/>
        <w:right w:val="none" w:sz="0" w:space="0" w:color="auto"/>
      </w:divBdr>
    </w:div>
    <w:div w:id="362174081">
      <w:bodyDiv w:val="1"/>
      <w:marLeft w:val="0"/>
      <w:marRight w:val="0"/>
      <w:marTop w:val="0"/>
      <w:marBottom w:val="0"/>
      <w:divBdr>
        <w:top w:val="none" w:sz="0" w:space="0" w:color="auto"/>
        <w:left w:val="none" w:sz="0" w:space="0" w:color="auto"/>
        <w:bottom w:val="none" w:sz="0" w:space="0" w:color="auto"/>
        <w:right w:val="none" w:sz="0" w:space="0" w:color="auto"/>
      </w:divBdr>
    </w:div>
    <w:div w:id="368141843">
      <w:bodyDiv w:val="1"/>
      <w:marLeft w:val="0"/>
      <w:marRight w:val="0"/>
      <w:marTop w:val="0"/>
      <w:marBottom w:val="0"/>
      <w:divBdr>
        <w:top w:val="none" w:sz="0" w:space="0" w:color="auto"/>
        <w:left w:val="none" w:sz="0" w:space="0" w:color="auto"/>
        <w:bottom w:val="none" w:sz="0" w:space="0" w:color="auto"/>
        <w:right w:val="none" w:sz="0" w:space="0" w:color="auto"/>
      </w:divBdr>
    </w:div>
    <w:div w:id="368533319">
      <w:bodyDiv w:val="1"/>
      <w:marLeft w:val="0"/>
      <w:marRight w:val="0"/>
      <w:marTop w:val="0"/>
      <w:marBottom w:val="0"/>
      <w:divBdr>
        <w:top w:val="none" w:sz="0" w:space="0" w:color="auto"/>
        <w:left w:val="none" w:sz="0" w:space="0" w:color="auto"/>
        <w:bottom w:val="none" w:sz="0" w:space="0" w:color="auto"/>
        <w:right w:val="none" w:sz="0" w:space="0" w:color="auto"/>
      </w:divBdr>
    </w:div>
    <w:div w:id="391664399">
      <w:bodyDiv w:val="1"/>
      <w:marLeft w:val="0"/>
      <w:marRight w:val="0"/>
      <w:marTop w:val="0"/>
      <w:marBottom w:val="0"/>
      <w:divBdr>
        <w:top w:val="none" w:sz="0" w:space="0" w:color="auto"/>
        <w:left w:val="none" w:sz="0" w:space="0" w:color="auto"/>
        <w:bottom w:val="none" w:sz="0" w:space="0" w:color="auto"/>
        <w:right w:val="none" w:sz="0" w:space="0" w:color="auto"/>
      </w:divBdr>
    </w:div>
    <w:div w:id="404305436">
      <w:bodyDiv w:val="1"/>
      <w:marLeft w:val="0"/>
      <w:marRight w:val="0"/>
      <w:marTop w:val="0"/>
      <w:marBottom w:val="0"/>
      <w:divBdr>
        <w:top w:val="none" w:sz="0" w:space="0" w:color="auto"/>
        <w:left w:val="none" w:sz="0" w:space="0" w:color="auto"/>
        <w:bottom w:val="none" w:sz="0" w:space="0" w:color="auto"/>
        <w:right w:val="none" w:sz="0" w:space="0" w:color="auto"/>
      </w:divBdr>
    </w:div>
    <w:div w:id="406222075">
      <w:bodyDiv w:val="1"/>
      <w:marLeft w:val="0"/>
      <w:marRight w:val="0"/>
      <w:marTop w:val="0"/>
      <w:marBottom w:val="0"/>
      <w:divBdr>
        <w:top w:val="none" w:sz="0" w:space="0" w:color="auto"/>
        <w:left w:val="none" w:sz="0" w:space="0" w:color="auto"/>
        <w:bottom w:val="none" w:sz="0" w:space="0" w:color="auto"/>
        <w:right w:val="none" w:sz="0" w:space="0" w:color="auto"/>
      </w:divBdr>
      <w:divsChild>
        <w:div w:id="388458700">
          <w:marLeft w:val="0"/>
          <w:marRight w:val="0"/>
          <w:marTop w:val="0"/>
          <w:marBottom w:val="0"/>
          <w:divBdr>
            <w:top w:val="single" w:sz="2" w:space="0" w:color="D9D9E3"/>
            <w:left w:val="single" w:sz="2" w:space="0" w:color="D9D9E3"/>
            <w:bottom w:val="single" w:sz="2" w:space="0" w:color="D9D9E3"/>
            <w:right w:val="single" w:sz="2" w:space="0" w:color="D9D9E3"/>
          </w:divBdr>
          <w:divsChild>
            <w:div w:id="456879125">
              <w:marLeft w:val="0"/>
              <w:marRight w:val="0"/>
              <w:marTop w:val="0"/>
              <w:marBottom w:val="0"/>
              <w:divBdr>
                <w:top w:val="single" w:sz="2" w:space="0" w:color="D9D9E3"/>
                <w:left w:val="single" w:sz="2" w:space="0" w:color="D9D9E3"/>
                <w:bottom w:val="single" w:sz="2" w:space="0" w:color="D9D9E3"/>
                <w:right w:val="single" w:sz="2" w:space="0" w:color="D9D9E3"/>
              </w:divBdr>
              <w:divsChild>
                <w:div w:id="544215112">
                  <w:marLeft w:val="0"/>
                  <w:marRight w:val="0"/>
                  <w:marTop w:val="0"/>
                  <w:marBottom w:val="0"/>
                  <w:divBdr>
                    <w:top w:val="single" w:sz="2" w:space="0" w:color="D9D9E3"/>
                    <w:left w:val="single" w:sz="2" w:space="0" w:color="D9D9E3"/>
                    <w:bottom w:val="single" w:sz="2" w:space="0" w:color="D9D9E3"/>
                    <w:right w:val="single" w:sz="2" w:space="0" w:color="D9D9E3"/>
                  </w:divBdr>
                  <w:divsChild>
                    <w:div w:id="456335660">
                      <w:marLeft w:val="0"/>
                      <w:marRight w:val="0"/>
                      <w:marTop w:val="0"/>
                      <w:marBottom w:val="0"/>
                      <w:divBdr>
                        <w:top w:val="single" w:sz="2" w:space="0" w:color="D9D9E3"/>
                        <w:left w:val="single" w:sz="2" w:space="0" w:color="D9D9E3"/>
                        <w:bottom w:val="single" w:sz="2" w:space="0" w:color="D9D9E3"/>
                        <w:right w:val="single" w:sz="2" w:space="0" w:color="D9D9E3"/>
                      </w:divBdr>
                      <w:divsChild>
                        <w:div w:id="694574017">
                          <w:marLeft w:val="0"/>
                          <w:marRight w:val="0"/>
                          <w:marTop w:val="0"/>
                          <w:marBottom w:val="0"/>
                          <w:divBdr>
                            <w:top w:val="single" w:sz="2" w:space="0" w:color="D9D9E3"/>
                            <w:left w:val="single" w:sz="2" w:space="0" w:color="D9D9E3"/>
                            <w:bottom w:val="single" w:sz="2" w:space="0" w:color="D9D9E3"/>
                            <w:right w:val="single" w:sz="2" w:space="0" w:color="D9D9E3"/>
                          </w:divBdr>
                          <w:divsChild>
                            <w:div w:id="1319530999">
                              <w:marLeft w:val="0"/>
                              <w:marRight w:val="0"/>
                              <w:marTop w:val="100"/>
                              <w:marBottom w:val="100"/>
                              <w:divBdr>
                                <w:top w:val="single" w:sz="2" w:space="0" w:color="D9D9E3"/>
                                <w:left w:val="single" w:sz="2" w:space="0" w:color="D9D9E3"/>
                                <w:bottom w:val="single" w:sz="2" w:space="0" w:color="D9D9E3"/>
                                <w:right w:val="single" w:sz="2" w:space="0" w:color="D9D9E3"/>
                              </w:divBdr>
                              <w:divsChild>
                                <w:div w:id="53428030">
                                  <w:marLeft w:val="0"/>
                                  <w:marRight w:val="0"/>
                                  <w:marTop w:val="0"/>
                                  <w:marBottom w:val="0"/>
                                  <w:divBdr>
                                    <w:top w:val="single" w:sz="2" w:space="0" w:color="D9D9E3"/>
                                    <w:left w:val="single" w:sz="2" w:space="0" w:color="D9D9E3"/>
                                    <w:bottom w:val="single" w:sz="2" w:space="0" w:color="D9D9E3"/>
                                    <w:right w:val="single" w:sz="2" w:space="0" w:color="D9D9E3"/>
                                  </w:divBdr>
                                  <w:divsChild>
                                    <w:div w:id="971523694">
                                      <w:marLeft w:val="0"/>
                                      <w:marRight w:val="0"/>
                                      <w:marTop w:val="0"/>
                                      <w:marBottom w:val="0"/>
                                      <w:divBdr>
                                        <w:top w:val="single" w:sz="2" w:space="0" w:color="D9D9E3"/>
                                        <w:left w:val="single" w:sz="2" w:space="0" w:color="D9D9E3"/>
                                        <w:bottom w:val="single" w:sz="2" w:space="0" w:color="D9D9E3"/>
                                        <w:right w:val="single" w:sz="2" w:space="0" w:color="D9D9E3"/>
                                      </w:divBdr>
                                      <w:divsChild>
                                        <w:div w:id="1366638821">
                                          <w:marLeft w:val="0"/>
                                          <w:marRight w:val="0"/>
                                          <w:marTop w:val="0"/>
                                          <w:marBottom w:val="0"/>
                                          <w:divBdr>
                                            <w:top w:val="single" w:sz="2" w:space="0" w:color="D9D9E3"/>
                                            <w:left w:val="single" w:sz="2" w:space="0" w:color="D9D9E3"/>
                                            <w:bottom w:val="single" w:sz="2" w:space="0" w:color="D9D9E3"/>
                                            <w:right w:val="single" w:sz="2" w:space="0" w:color="D9D9E3"/>
                                          </w:divBdr>
                                          <w:divsChild>
                                            <w:div w:id="412624951">
                                              <w:marLeft w:val="0"/>
                                              <w:marRight w:val="0"/>
                                              <w:marTop w:val="0"/>
                                              <w:marBottom w:val="0"/>
                                              <w:divBdr>
                                                <w:top w:val="single" w:sz="2" w:space="0" w:color="D9D9E3"/>
                                                <w:left w:val="single" w:sz="2" w:space="0" w:color="D9D9E3"/>
                                                <w:bottom w:val="single" w:sz="2" w:space="0" w:color="D9D9E3"/>
                                                <w:right w:val="single" w:sz="2" w:space="0" w:color="D9D9E3"/>
                                              </w:divBdr>
                                              <w:divsChild>
                                                <w:div w:id="455371907">
                                                  <w:marLeft w:val="0"/>
                                                  <w:marRight w:val="0"/>
                                                  <w:marTop w:val="0"/>
                                                  <w:marBottom w:val="0"/>
                                                  <w:divBdr>
                                                    <w:top w:val="single" w:sz="2" w:space="0" w:color="D9D9E3"/>
                                                    <w:left w:val="single" w:sz="2" w:space="0" w:color="D9D9E3"/>
                                                    <w:bottom w:val="single" w:sz="2" w:space="0" w:color="D9D9E3"/>
                                                    <w:right w:val="single" w:sz="2" w:space="0" w:color="D9D9E3"/>
                                                  </w:divBdr>
                                                  <w:divsChild>
                                                    <w:div w:id="2014068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72611206">
          <w:marLeft w:val="0"/>
          <w:marRight w:val="0"/>
          <w:marTop w:val="0"/>
          <w:marBottom w:val="0"/>
          <w:divBdr>
            <w:top w:val="none" w:sz="0" w:space="0" w:color="auto"/>
            <w:left w:val="none" w:sz="0" w:space="0" w:color="auto"/>
            <w:bottom w:val="none" w:sz="0" w:space="0" w:color="auto"/>
            <w:right w:val="none" w:sz="0" w:space="0" w:color="auto"/>
          </w:divBdr>
        </w:div>
      </w:divsChild>
    </w:div>
    <w:div w:id="509951960">
      <w:bodyDiv w:val="1"/>
      <w:marLeft w:val="0"/>
      <w:marRight w:val="0"/>
      <w:marTop w:val="0"/>
      <w:marBottom w:val="0"/>
      <w:divBdr>
        <w:top w:val="none" w:sz="0" w:space="0" w:color="auto"/>
        <w:left w:val="none" w:sz="0" w:space="0" w:color="auto"/>
        <w:bottom w:val="none" w:sz="0" w:space="0" w:color="auto"/>
        <w:right w:val="none" w:sz="0" w:space="0" w:color="auto"/>
      </w:divBdr>
    </w:div>
    <w:div w:id="596131567">
      <w:bodyDiv w:val="1"/>
      <w:marLeft w:val="0"/>
      <w:marRight w:val="0"/>
      <w:marTop w:val="0"/>
      <w:marBottom w:val="0"/>
      <w:divBdr>
        <w:top w:val="none" w:sz="0" w:space="0" w:color="auto"/>
        <w:left w:val="none" w:sz="0" w:space="0" w:color="auto"/>
        <w:bottom w:val="none" w:sz="0" w:space="0" w:color="auto"/>
        <w:right w:val="none" w:sz="0" w:space="0" w:color="auto"/>
      </w:divBdr>
    </w:div>
    <w:div w:id="652639915">
      <w:bodyDiv w:val="1"/>
      <w:marLeft w:val="0"/>
      <w:marRight w:val="0"/>
      <w:marTop w:val="0"/>
      <w:marBottom w:val="0"/>
      <w:divBdr>
        <w:top w:val="none" w:sz="0" w:space="0" w:color="auto"/>
        <w:left w:val="none" w:sz="0" w:space="0" w:color="auto"/>
        <w:bottom w:val="none" w:sz="0" w:space="0" w:color="auto"/>
        <w:right w:val="none" w:sz="0" w:space="0" w:color="auto"/>
      </w:divBdr>
    </w:div>
    <w:div w:id="681780669">
      <w:bodyDiv w:val="1"/>
      <w:marLeft w:val="0"/>
      <w:marRight w:val="0"/>
      <w:marTop w:val="0"/>
      <w:marBottom w:val="0"/>
      <w:divBdr>
        <w:top w:val="none" w:sz="0" w:space="0" w:color="auto"/>
        <w:left w:val="none" w:sz="0" w:space="0" w:color="auto"/>
        <w:bottom w:val="none" w:sz="0" w:space="0" w:color="auto"/>
        <w:right w:val="none" w:sz="0" w:space="0" w:color="auto"/>
      </w:divBdr>
    </w:div>
    <w:div w:id="714352166">
      <w:bodyDiv w:val="1"/>
      <w:marLeft w:val="0"/>
      <w:marRight w:val="0"/>
      <w:marTop w:val="0"/>
      <w:marBottom w:val="0"/>
      <w:divBdr>
        <w:top w:val="none" w:sz="0" w:space="0" w:color="auto"/>
        <w:left w:val="none" w:sz="0" w:space="0" w:color="auto"/>
        <w:bottom w:val="none" w:sz="0" w:space="0" w:color="auto"/>
        <w:right w:val="none" w:sz="0" w:space="0" w:color="auto"/>
      </w:divBdr>
    </w:div>
    <w:div w:id="776946702">
      <w:bodyDiv w:val="1"/>
      <w:marLeft w:val="0"/>
      <w:marRight w:val="0"/>
      <w:marTop w:val="0"/>
      <w:marBottom w:val="0"/>
      <w:divBdr>
        <w:top w:val="none" w:sz="0" w:space="0" w:color="auto"/>
        <w:left w:val="none" w:sz="0" w:space="0" w:color="auto"/>
        <w:bottom w:val="none" w:sz="0" w:space="0" w:color="auto"/>
        <w:right w:val="none" w:sz="0" w:space="0" w:color="auto"/>
      </w:divBdr>
    </w:div>
    <w:div w:id="788813933">
      <w:bodyDiv w:val="1"/>
      <w:marLeft w:val="0"/>
      <w:marRight w:val="0"/>
      <w:marTop w:val="0"/>
      <w:marBottom w:val="0"/>
      <w:divBdr>
        <w:top w:val="none" w:sz="0" w:space="0" w:color="auto"/>
        <w:left w:val="none" w:sz="0" w:space="0" w:color="auto"/>
        <w:bottom w:val="none" w:sz="0" w:space="0" w:color="auto"/>
        <w:right w:val="none" w:sz="0" w:space="0" w:color="auto"/>
      </w:divBdr>
    </w:div>
    <w:div w:id="823933305">
      <w:bodyDiv w:val="1"/>
      <w:marLeft w:val="0"/>
      <w:marRight w:val="0"/>
      <w:marTop w:val="0"/>
      <w:marBottom w:val="0"/>
      <w:divBdr>
        <w:top w:val="none" w:sz="0" w:space="0" w:color="auto"/>
        <w:left w:val="none" w:sz="0" w:space="0" w:color="auto"/>
        <w:bottom w:val="none" w:sz="0" w:space="0" w:color="auto"/>
        <w:right w:val="none" w:sz="0" w:space="0" w:color="auto"/>
      </w:divBdr>
      <w:divsChild>
        <w:div w:id="673186981">
          <w:marLeft w:val="0"/>
          <w:marRight w:val="0"/>
          <w:marTop w:val="0"/>
          <w:marBottom w:val="0"/>
          <w:divBdr>
            <w:top w:val="none" w:sz="0" w:space="0" w:color="auto"/>
            <w:left w:val="none" w:sz="0" w:space="0" w:color="auto"/>
            <w:bottom w:val="none" w:sz="0" w:space="0" w:color="auto"/>
            <w:right w:val="none" w:sz="0" w:space="0" w:color="auto"/>
          </w:divBdr>
        </w:div>
        <w:div w:id="1217351257">
          <w:marLeft w:val="0"/>
          <w:marRight w:val="0"/>
          <w:marTop w:val="0"/>
          <w:marBottom w:val="0"/>
          <w:divBdr>
            <w:top w:val="single" w:sz="2" w:space="0" w:color="D9D9E3"/>
            <w:left w:val="single" w:sz="2" w:space="0" w:color="D9D9E3"/>
            <w:bottom w:val="single" w:sz="2" w:space="0" w:color="D9D9E3"/>
            <w:right w:val="single" w:sz="2" w:space="0" w:color="D9D9E3"/>
          </w:divBdr>
          <w:divsChild>
            <w:div w:id="1943297002">
              <w:marLeft w:val="0"/>
              <w:marRight w:val="0"/>
              <w:marTop w:val="0"/>
              <w:marBottom w:val="0"/>
              <w:divBdr>
                <w:top w:val="single" w:sz="2" w:space="0" w:color="D9D9E3"/>
                <w:left w:val="single" w:sz="2" w:space="0" w:color="D9D9E3"/>
                <w:bottom w:val="single" w:sz="2" w:space="0" w:color="D9D9E3"/>
                <w:right w:val="single" w:sz="2" w:space="0" w:color="D9D9E3"/>
              </w:divBdr>
              <w:divsChild>
                <w:div w:id="911085522">
                  <w:marLeft w:val="0"/>
                  <w:marRight w:val="0"/>
                  <w:marTop w:val="0"/>
                  <w:marBottom w:val="0"/>
                  <w:divBdr>
                    <w:top w:val="single" w:sz="2" w:space="0" w:color="D9D9E3"/>
                    <w:left w:val="single" w:sz="2" w:space="0" w:color="D9D9E3"/>
                    <w:bottom w:val="single" w:sz="2" w:space="0" w:color="D9D9E3"/>
                    <w:right w:val="single" w:sz="2" w:space="0" w:color="D9D9E3"/>
                  </w:divBdr>
                  <w:divsChild>
                    <w:div w:id="1110079508">
                      <w:marLeft w:val="0"/>
                      <w:marRight w:val="0"/>
                      <w:marTop w:val="0"/>
                      <w:marBottom w:val="0"/>
                      <w:divBdr>
                        <w:top w:val="single" w:sz="2" w:space="0" w:color="D9D9E3"/>
                        <w:left w:val="single" w:sz="2" w:space="0" w:color="D9D9E3"/>
                        <w:bottom w:val="single" w:sz="2" w:space="0" w:color="D9D9E3"/>
                        <w:right w:val="single" w:sz="2" w:space="0" w:color="D9D9E3"/>
                      </w:divBdr>
                      <w:divsChild>
                        <w:div w:id="205803624">
                          <w:marLeft w:val="0"/>
                          <w:marRight w:val="0"/>
                          <w:marTop w:val="0"/>
                          <w:marBottom w:val="0"/>
                          <w:divBdr>
                            <w:top w:val="single" w:sz="2" w:space="0" w:color="D9D9E3"/>
                            <w:left w:val="single" w:sz="2" w:space="0" w:color="D9D9E3"/>
                            <w:bottom w:val="single" w:sz="2" w:space="0" w:color="D9D9E3"/>
                            <w:right w:val="single" w:sz="2" w:space="0" w:color="D9D9E3"/>
                          </w:divBdr>
                          <w:divsChild>
                            <w:div w:id="1696539214">
                              <w:marLeft w:val="0"/>
                              <w:marRight w:val="0"/>
                              <w:marTop w:val="100"/>
                              <w:marBottom w:val="100"/>
                              <w:divBdr>
                                <w:top w:val="single" w:sz="2" w:space="0" w:color="D9D9E3"/>
                                <w:left w:val="single" w:sz="2" w:space="0" w:color="D9D9E3"/>
                                <w:bottom w:val="single" w:sz="2" w:space="0" w:color="D9D9E3"/>
                                <w:right w:val="single" w:sz="2" w:space="0" w:color="D9D9E3"/>
                              </w:divBdr>
                              <w:divsChild>
                                <w:div w:id="1732269652">
                                  <w:marLeft w:val="0"/>
                                  <w:marRight w:val="0"/>
                                  <w:marTop w:val="0"/>
                                  <w:marBottom w:val="0"/>
                                  <w:divBdr>
                                    <w:top w:val="single" w:sz="2" w:space="0" w:color="D9D9E3"/>
                                    <w:left w:val="single" w:sz="2" w:space="0" w:color="D9D9E3"/>
                                    <w:bottom w:val="single" w:sz="2" w:space="0" w:color="D9D9E3"/>
                                    <w:right w:val="single" w:sz="2" w:space="0" w:color="D9D9E3"/>
                                  </w:divBdr>
                                  <w:divsChild>
                                    <w:div w:id="840119269">
                                      <w:marLeft w:val="0"/>
                                      <w:marRight w:val="0"/>
                                      <w:marTop w:val="0"/>
                                      <w:marBottom w:val="0"/>
                                      <w:divBdr>
                                        <w:top w:val="single" w:sz="2" w:space="0" w:color="D9D9E3"/>
                                        <w:left w:val="single" w:sz="2" w:space="0" w:color="D9D9E3"/>
                                        <w:bottom w:val="single" w:sz="2" w:space="0" w:color="D9D9E3"/>
                                        <w:right w:val="single" w:sz="2" w:space="0" w:color="D9D9E3"/>
                                      </w:divBdr>
                                      <w:divsChild>
                                        <w:div w:id="1766540034">
                                          <w:marLeft w:val="0"/>
                                          <w:marRight w:val="0"/>
                                          <w:marTop w:val="0"/>
                                          <w:marBottom w:val="0"/>
                                          <w:divBdr>
                                            <w:top w:val="single" w:sz="2" w:space="0" w:color="D9D9E3"/>
                                            <w:left w:val="single" w:sz="2" w:space="0" w:color="D9D9E3"/>
                                            <w:bottom w:val="single" w:sz="2" w:space="0" w:color="D9D9E3"/>
                                            <w:right w:val="single" w:sz="2" w:space="0" w:color="D9D9E3"/>
                                          </w:divBdr>
                                          <w:divsChild>
                                            <w:div w:id="1863351614">
                                              <w:marLeft w:val="0"/>
                                              <w:marRight w:val="0"/>
                                              <w:marTop w:val="0"/>
                                              <w:marBottom w:val="0"/>
                                              <w:divBdr>
                                                <w:top w:val="single" w:sz="2" w:space="0" w:color="D9D9E3"/>
                                                <w:left w:val="single" w:sz="2" w:space="0" w:color="D9D9E3"/>
                                                <w:bottom w:val="single" w:sz="2" w:space="0" w:color="D9D9E3"/>
                                                <w:right w:val="single" w:sz="2" w:space="0" w:color="D9D9E3"/>
                                              </w:divBdr>
                                              <w:divsChild>
                                                <w:div w:id="1705324190">
                                                  <w:marLeft w:val="0"/>
                                                  <w:marRight w:val="0"/>
                                                  <w:marTop w:val="0"/>
                                                  <w:marBottom w:val="0"/>
                                                  <w:divBdr>
                                                    <w:top w:val="single" w:sz="2" w:space="0" w:color="D9D9E3"/>
                                                    <w:left w:val="single" w:sz="2" w:space="0" w:color="D9D9E3"/>
                                                    <w:bottom w:val="single" w:sz="2" w:space="0" w:color="D9D9E3"/>
                                                    <w:right w:val="single" w:sz="2" w:space="0" w:color="D9D9E3"/>
                                                  </w:divBdr>
                                                  <w:divsChild>
                                                    <w:div w:id="1082871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28835567">
      <w:bodyDiv w:val="1"/>
      <w:marLeft w:val="0"/>
      <w:marRight w:val="0"/>
      <w:marTop w:val="0"/>
      <w:marBottom w:val="0"/>
      <w:divBdr>
        <w:top w:val="none" w:sz="0" w:space="0" w:color="auto"/>
        <w:left w:val="none" w:sz="0" w:space="0" w:color="auto"/>
        <w:bottom w:val="none" w:sz="0" w:space="0" w:color="auto"/>
        <w:right w:val="none" w:sz="0" w:space="0" w:color="auto"/>
      </w:divBdr>
    </w:div>
    <w:div w:id="840630580">
      <w:bodyDiv w:val="1"/>
      <w:marLeft w:val="0"/>
      <w:marRight w:val="0"/>
      <w:marTop w:val="0"/>
      <w:marBottom w:val="0"/>
      <w:divBdr>
        <w:top w:val="none" w:sz="0" w:space="0" w:color="auto"/>
        <w:left w:val="none" w:sz="0" w:space="0" w:color="auto"/>
        <w:bottom w:val="none" w:sz="0" w:space="0" w:color="auto"/>
        <w:right w:val="none" w:sz="0" w:space="0" w:color="auto"/>
      </w:divBdr>
      <w:divsChild>
        <w:div w:id="1723863454">
          <w:marLeft w:val="0"/>
          <w:marRight w:val="0"/>
          <w:marTop w:val="0"/>
          <w:marBottom w:val="0"/>
          <w:divBdr>
            <w:top w:val="single" w:sz="2" w:space="0" w:color="E3E3E3"/>
            <w:left w:val="single" w:sz="2" w:space="0" w:color="E3E3E3"/>
            <w:bottom w:val="single" w:sz="2" w:space="0" w:color="E3E3E3"/>
            <w:right w:val="single" w:sz="2" w:space="0" w:color="E3E3E3"/>
          </w:divBdr>
          <w:divsChild>
            <w:div w:id="458883118">
              <w:marLeft w:val="0"/>
              <w:marRight w:val="0"/>
              <w:marTop w:val="0"/>
              <w:marBottom w:val="0"/>
              <w:divBdr>
                <w:top w:val="single" w:sz="2" w:space="0" w:color="E3E3E3"/>
                <w:left w:val="single" w:sz="2" w:space="0" w:color="E3E3E3"/>
                <w:bottom w:val="single" w:sz="2" w:space="0" w:color="E3E3E3"/>
                <w:right w:val="single" w:sz="2" w:space="0" w:color="E3E3E3"/>
              </w:divBdr>
              <w:divsChild>
                <w:div w:id="1333531887">
                  <w:marLeft w:val="0"/>
                  <w:marRight w:val="0"/>
                  <w:marTop w:val="0"/>
                  <w:marBottom w:val="0"/>
                  <w:divBdr>
                    <w:top w:val="single" w:sz="2" w:space="0" w:color="E3E3E3"/>
                    <w:left w:val="single" w:sz="2" w:space="0" w:color="E3E3E3"/>
                    <w:bottom w:val="single" w:sz="2" w:space="0" w:color="E3E3E3"/>
                    <w:right w:val="single" w:sz="2" w:space="0" w:color="E3E3E3"/>
                  </w:divBdr>
                  <w:divsChild>
                    <w:div w:id="440494209">
                      <w:marLeft w:val="0"/>
                      <w:marRight w:val="0"/>
                      <w:marTop w:val="0"/>
                      <w:marBottom w:val="0"/>
                      <w:divBdr>
                        <w:top w:val="single" w:sz="2" w:space="0" w:color="E3E3E3"/>
                        <w:left w:val="single" w:sz="2" w:space="0" w:color="E3E3E3"/>
                        <w:bottom w:val="single" w:sz="2" w:space="0" w:color="E3E3E3"/>
                        <w:right w:val="single" w:sz="2" w:space="0" w:color="E3E3E3"/>
                      </w:divBdr>
                      <w:divsChild>
                        <w:div w:id="31151918">
                          <w:marLeft w:val="0"/>
                          <w:marRight w:val="0"/>
                          <w:marTop w:val="0"/>
                          <w:marBottom w:val="0"/>
                          <w:divBdr>
                            <w:top w:val="single" w:sz="2" w:space="0" w:color="E3E3E3"/>
                            <w:left w:val="single" w:sz="2" w:space="0" w:color="E3E3E3"/>
                            <w:bottom w:val="single" w:sz="2" w:space="0" w:color="E3E3E3"/>
                            <w:right w:val="single" w:sz="2" w:space="0" w:color="E3E3E3"/>
                          </w:divBdr>
                          <w:divsChild>
                            <w:div w:id="1688675214">
                              <w:marLeft w:val="0"/>
                              <w:marRight w:val="0"/>
                              <w:marTop w:val="100"/>
                              <w:marBottom w:val="100"/>
                              <w:divBdr>
                                <w:top w:val="single" w:sz="2" w:space="0" w:color="E3E3E3"/>
                                <w:left w:val="single" w:sz="2" w:space="0" w:color="E3E3E3"/>
                                <w:bottom w:val="single" w:sz="2" w:space="0" w:color="E3E3E3"/>
                                <w:right w:val="single" w:sz="2" w:space="0" w:color="E3E3E3"/>
                              </w:divBdr>
                              <w:divsChild>
                                <w:div w:id="1763597968">
                                  <w:marLeft w:val="0"/>
                                  <w:marRight w:val="0"/>
                                  <w:marTop w:val="0"/>
                                  <w:marBottom w:val="0"/>
                                  <w:divBdr>
                                    <w:top w:val="single" w:sz="2" w:space="0" w:color="E3E3E3"/>
                                    <w:left w:val="single" w:sz="2" w:space="0" w:color="E3E3E3"/>
                                    <w:bottom w:val="single" w:sz="2" w:space="0" w:color="E3E3E3"/>
                                    <w:right w:val="single" w:sz="2" w:space="0" w:color="E3E3E3"/>
                                  </w:divBdr>
                                  <w:divsChild>
                                    <w:div w:id="1319573475">
                                      <w:marLeft w:val="0"/>
                                      <w:marRight w:val="0"/>
                                      <w:marTop w:val="0"/>
                                      <w:marBottom w:val="0"/>
                                      <w:divBdr>
                                        <w:top w:val="single" w:sz="2" w:space="0" w:color="E3E3E3"/>
                                        <w:left w:val="single" w:sz="2" w:space="0" w:color="E3E3E3"/>
                                        <w:bottom w:val="single" w:sz="2" w:space="0" w:color="E3E3E3"/>
                                        <w:right w:val="single" w:sz="2" w:space="0" w:color="E3E3E3"/>
                                      </w:divBdr>
                                      <w:divsChild>
                                        <w:div w:id="103117897">
                                          <w:marLeft w:val="0"/>
                                          <w:marRight w:val="0"/>
                                          <w:marTop w:val="0"/>
                                          <w:marBottom w:val="0"/>
                                          <w:divBdr>
                                            <w:top w:val="single" w:sz="2" w:space="0" w:color="E3E3E3"/>
                                            <w:left w:val="single" w:sz="2" w:space="0" w:color="E3E3E3"/>
                                            <w:bottom w:val="single" w:sz="2" w:space="0" w:color="E3E3E3"/>
                                            <w:right w:val="single" w:sz="2" w:space="0" w:color="E3E3E3"/>
                                          </w:divBdr>
                                          <w:divsChild>
                                            <w:div w:id="1262183301">
                                              <w:marLeft w:val="0"/>
                                              <w:marRight w:val="0"/>
                                              <w:marTop w:val="0"/>
                                              <w:marBottom w:val="0"/>
                                              <w:divBdr>
                                                <w:top w:val="single" w:sz="2" w:space="0" w:color="E3E3E3"/>
                                                <w:left w:val="single" w:sz="2" w:space="0" w:color="E3E3E3"/>
                                                <w:bottom w:val="single" w:sz="2" w:space="0" w:color="E3E3E3"/>
                                                <w:right w:val="single" w:sz="2" w:space="0" w:color="E3E3E3"/>
                                              </w:divBdr>
                                              <w:divsChild>
                                                <w:div w:id="586957654">
                                                  <w:marLeft w:val="0"/>
                                                  <w:marRight w:val="0"/>
                                                  <w:marTop w:val="0"/>
                                                  <w:marBottom w:val="0"/>
                                                  <w:divBdr>
                                                    <w:top w:val="single" w:sz="2" w:space="0" w:color="E3E3E3"/>
                                                    <w:left w:val="single" w:sz="2" w:space="0" w:color="E3E3E3"/>
                                                    <w:bottom w:val="single" w:sz="2" w:space="0" w:color="E3E3E3"/>
                                                    <w:right w:val="single" w:sz="2" w:space="0" w:color="E3E3E3"/>
                                                  </w:divBdr>
                                                  <w:divsChild>
                                                    <w:div w:id="1221226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71674888">
          <w:marLeft w:val="0"/>
          <w:marRight w:val="0"/>
          <w:marTop w:val="0"/>
          <w:marBottom w:val="0"/>
          <w:divBdr>
            <w:top w:val="none" w:sz="0" w:space="0" w:color="auto"/>
            <w:left w:val="none" w:sz="0" w:space="0" w:color="auto"/>
            <w:bottom w:val="none" w:sz="0" w:space="0" w:color="auto"/>
            <w:right w:val="none" w:sz="0" w:space="0" w:color="auto"/>
          </w:divBdr>
        </w:div>
      </w:divsChild>
    </w:div>
    <w:div w:id="1005979758">
      <w:bodyDiv w:val="1"/>
      <w:marLeft w:val="0"/>
      <w:marRight w:val="0"/>
      <w:marTop w:val="0"/>
      <w:marBottom w:val="0"/>
      <w:divBdr>
        <w:top w:val="none" w:sz="0" w:space="0" w:color="auto"/>
        <w:left w:val="none" w:sz="0" w:space="0" w:color="auto"/>
        <w:bottom w:val="none" w:sz="0" w:space="0" w:color="auto"/>
        <w:right w:val="none" w:sz="0" w:space="0" w:color="auto"/>
      </w:divBdr>
    </w:div>
    <w:div w:id="1018122745">
      <w:bodyDiv w:val="1"/>
      <w:marLeft w:val="0"/>
      <w:marRight w:val="0"/>
      <w:marTop w:val="0"/>
      <w:marBottom w:val="0"/>
      <w:divBdr>
        <w:top w:val="none" w:sz="0" w:space="0" w:color="auto"/>
        <w:left w:val="none" w:sz="0" w:space="0" w:color="auto"/>
        <w:bottom w:val="none" w:sz="0" w:space="0" w:color="auto"/>
        <w:right w:val="none" w:sz="0" w:space="0" w:color="auto"/>
      </w:divBdr>
    </w:div>
    <w:div w:id="1063334034">
      <w:bodyDiv w:val="1"/>
      <w:marLeft w:val="0"/>
      <w:marRight w:val="0"/>
      <w:marTop w:val="0"/>
      <w:marBottom w:val="0"/>
      <w:divBdr>
        <w:top w:val="none" w:sz="0" w:space="0" w:color="auto"/>
        <w:left w:val="none" w:sz="0" w:space="0" w:color="auto"/>
        <w:bottom w:val="none" w:sz="0" w:space="0" w:color="auto"/>
        <w:right w:val="none" w:sz="0" w:space="0" w:color="auto"/>
      </w:divBdr>
      <w:divsChild>
        <w:div w:id="602153719">
          <w:marLeft w:val="0"/>
          <w:marRight w:val="0"/>
          <w:marTop w:val="0"/>
          <w:marBottom w:val="0"/>
          <w:divBdr>
            <w:top w:val="single" w:sz="2" w:space="0" w:color="E3E3E3"/>
            <w:left w:val="single" w:sz="2" w:space="0" w:color="E3E3E3"/>
            <w:bottom w:val="single" w:sz="2" w:space="0" w:color="E3E3E3"/>
            <w:right w:val="single" w:sz="2" w:space="0" w:color="E3E3E3"/>
          </w:divBdr>
          <w:divsChild>
            <w:div w:id="150564616">
              <w:marLeft w:val="0"/>
              <w:marRight w:val="0"/>
              <w:marTop w:val="0"/>
              <w:marBottom w:val="0"/>
              <w:divBdr>
                <w:top w:val="single" w:sz="2" w:space="0" w:color="E3E3E3"/>
                <w:left w:val="single" w:sz="2" w:space="0" w:color="E3E3E3"/>
                <w:bottom w:val="single" w:sz="2" w:space="0" w:color="E3E3E3"/>
                <w:right w:val="single" w:sz="2" w:space="0" w:color="E3E3E3"/>
              </w:divBdr>
              <w:divsChild>
                <w:div w:id="1358236002">
                  <w:marLeft w:val="0"/>
                  <w:marRight w:val="0"/>
                  <w:marTop w:val="0"/>
                  <w:marBottom w:val="0"/>
                  <w:divBdr>
                    <w:top w:val="single" w:sz="2" w:space="0" w:color="E3E3E3"/>
                    <w:left w:val="single" w:sz="2" w:space="0" w:color="E3E3E3"/>
                    <w:bottom w:val="single" w:sz="2" w:space="0" w:color="E3E3E3"/>
                    <w:right w:val="single" w:sz="2" w:space="0" w:color="E3E3E3"/>
                  </w:divBdr>
                  <w:divsChild>
                    <w:div w:id="1391658337">
                      <w:marLeft w:val="0"/>
                      <w:marRight w:val="0"/>
                      <w:marTop w:val="0"/>
                      <w:marBottom w:val="0"/>
                      <w:divBdr>
                        <w:top w:val="single" w:sz="2" w:space="0" w:color="E3E3E3"/>
                        <w:left w:val="single" w:sz="2" w:space="0" w:color="E3E3E3"/>
                        <w:bottom w:val="single" w:sz="2" w:space="0" w:color="E3E3E3"/>
                        <w:right w:val="single" w:sz="2" w:space="0" w:color="E3E3E3"/>
                      </w:divBdr>
                      <w:divsChild>
                        <w:div w:id="1321083028">
                          <w:marLeft w:val="0"/>
                          <w:marRight w:val="0"/>
                          <w:marTop w:val="0"/>
                          <w:marBottom w:val="0"/>
                          <w:divBdr>
                            <w:top w:val="single" w:sz="2" w:space="0" w:color="E3E3E3"/>
                            <w:left w:val="single" w:sz="2" w:space="0" w:color="E3E3E3"/>
                            <w:bottom w:val="single" w:sz="2" w:space="0" w:color="E3E3E3"/>
                            <w:right w:val="single" w:sz="2" w:space="0" w:color="E3E3E3"/>
                          </w:divBdr>
                          <w:divsChild>
                            <w:div w:id="2120947966">
                              <w:marLeft w:val="0"/>
                              <w:marRight w:val="0"/>
                              <w:marTop w:val="100"/>
                              <w:marBottom w:val="100"/>
                              <w:divBdr>
                                <w:top w:val="single" w:sz="2" w:space="0" w:color="E3E3E3"/>
                                <w:left w:val="single" w:sz="2" w:space="0" w:color="E3E3E3"/>
                                <w:bottom w:val="single" w:sz="2" w:space="0" w:color="E3E3E3"/>
                                <w:right w:val="single" w:sz="2" w:space="0" w:color="E3E3E3"/>
                              </w:divBdr>
                              <w:divsChild>
                                <w:div w:id="1197812749">
                                  <w:marLeft w:val="0"/>
                                  <w:marRight w:val="0"/>
                                  <w:marTop w:val="0"/>
                                  <w:marBottom w:val="0"/>
                                  <w:divBdr>
                                    <w:top w:val="single" w:sz="2" w:space="0" w:color="E3E3E3"/>
                                    <w:left w:val="single" w:sz="2" w:space="0" w:color="E3E3E3"/>
                                    <w:bottom w:val="single" w:sz="2" w:space="0" w:color="E3E3E3"/>
                                    <w:right w:val="single" w:sz="2" w:space="0" w:color="E3E3E3"/>
                                  </w:divBdr>
                                  <w:divsChild>
                                    <w:div w:id="993875218">
                                      <w:marLeft w:val="0"/>
                                      <w:marRight w:val="0"/>
                                      <w:marTop w:val="0"/>
                                      <w:marBottom w:val="0"/>
                                      <w:divBdr>
                                        <w:top w:val="single" w:sz="2" w:space="0" w:color="E3E3E3"/>
                                        <w:left w:val="single" w:sz="2" w:space="0" w:color="E3E3E3"/>
                                        <w:bottom w:val="single" w:sz="2" w:space="0" w:color="E3E3E3"/>
                                        <w:right w:val="single" w:sz="2" w:space="0" w:color="E3E3E3"/>
                                      </w:divBdr>
                                      <w:divsChild>
                                        <w:div w:id="80875933">
                                          <w:marLeft w:val="0"/>
                                          <w:marRight w:val="0"/>
                                          <w:marTop w:val="0"/>
                                          <w:marBottom w:val="0"/>
                                          <w:divBdr>
                                            <w:top w:val="single" w:sz="2" w:space="0" w:color="E3E3E3"/>
                                            <w:left w:val="single" w:sz="2" w:space="0" w:color="E3E3E3"/>
                                            <w:bottom w:val="single" w:sz="2" w:space="0" w:color="E3E3E3"/>
                                            <w:right w:val="single" w:sz="2" w:space="0" w:color="E3E3E3"/>
                                          </w:divBdr>
                                          <w:divsChild>
                                            <w:div w:id="250547795">
                                              <w:marLeft w:val="0"/>
                                              <w:marRight w:val="0"/>
                                              <w:marTop w:val="0"/>
                                              <w:marBottom w:val="0"/>
                                              <w:divBdr>
                                                <w:top w:val="single" w:sz="2" w:space="0" w:color="E3E3E3"/>
                                                <w:left w:val="single" w:sz="2" w:space="0" w:color="E3E3E3"/>
                                                <w:bottom w:val="single" w:sz="2" w:space="0" w:color="E3E3E3"/>
                                                <w:right w:val="single" w:sz="2" w:space="0" w:color="E3E3E3"/>
                                              </w:divBdr>
                                              <w:divsChild>
                                                <w:div w:id="1800099723">
                                                  <w:marLeft w:val="0"/>
                                                  <w:marRight w:val="0"/>
                                                  <w:marTop w:val="0"/>
                                                  <w:marBottom w:val="0"/>
                                                  <w:divBdr>
                                                    <w:top w:val="single" w:sz="2" w:space="0" w:color="E3E3E3"/>
                                                    <w:left w:val="single" w:sz="2" w:space="0" w:color="E3E3E3"/>
                                                    <w:bottom w:val="single" w:sz="2" w:space="0" w:color="E3E3E3"/>
                                                    <w:right w:val="single" w:sz="2" w:space="0" w:color="E3E3E3"/>
                                                  </w:divBdr>
                                                  <w:divsChild>
                                                    <w:div w:id="798961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43812109">
          <w:marLeft w:val="0"/>
          <w:marRight w:val="0"/>
          <w:marTop w:val="0"/>
          <w:marBottom w:val="0"/>
          <w:divBdr>
            <w:top w:val="none" w:sz="0" w:space="0" w:color="auto"/>
            <w:left w:val="none" w:sz="0" w:space="0" w:color="auto"/>
            <w:bottom w:val="none" w:sz="0" w:space="0" w:color="auto"/>
            <w:right w:val="none" w:sz="0" w:space="0" w:color="auto"/>
          </w:divBdr>
        </w:div>
      </w:divsChild>
    </w:div>
    <w:div w:id="1132089293">
      <w:bodyDiv w:val="1"/>
      <w:marLeft w:val="0"/>
      <w:marRight w:val="0"/>
      <w:marTop w:val="0"/>
      <w:marBottom w:val="0"/>
      <w:divBdr>
        <w:top w:val="none" w:sz="0" w:space="0" w:color="auto"/>
        <w:left w:val="none" w:sz="0" w:space="0" w:color="auto"/>
        <w:bottom w:val="none" w:sz="0" w:space="0" w:color="auto"/>
        <w:right w:val="none" w:sz="0" w:space="0" w:color="auto"/>
      </w:divBdr>
    </w:div>
    <w:div w:id="1185947964">
      <w:bodyDiv w:val="1"/>
      <w:marLeft w:val="0"/>
      <w:marRight w:val="0"/>
      <w:marTop w:val="0"/>
      <w:marBottom w:val="0"/>
      <w:divBdr>
        <w:top w:val="none" w:sz="0" w:space="0" w:color="auto"/>
        <w:left w:val="none" w:sz="0" w:space="0" w:color="auto"/>
        <w:bottom w:val="none" w:sz="0" w:space="0" w:color="auto"/>
        <w:right w:val="none" w:sz="0" w:space="0" w:color="auto"/>
      </w:divBdr>
    </w:div>
    <w:div w:id="1185948158">
      <w:bodyDiv w:val="1"/>
      <w:marLeft w:val="0"/>
      <w:marRight w:val="0"/>
      <w:marTop w:val="0"/>
      <w:marBottom w:val="0"/>
      <w:divBdr>
        <w:top w:val="none" w:sz="0" w:space="0" w:color="auto"/>
        <w:left w:val="none" w:sz="0" w:space="0" w:color="auto"/>
        <w:bottom w:val="none" w:sz="0" w:space="0" w:color="auto"/>
        <w:right w:val="none" w:sz="0" w:space="0" w:color="auto"/>
      </w:divBdr>
    </w:div>
    <w:div w:id="1202287303">
      <w:bodyDiv w:val="1"/>
      <w:marLeft w:val="0"/>
      <w:marRight w:val="0"/>
      <w:marTop w:val="0"/>
      <w:marBottom w:val="0"/>
      <w:divBdr>
        <w:top w:val="none" w:sz="0" w:space="0" w:color="auto"/>
        <w:left w:val="none" w:sz="0" w:space="0" w:color="auto"/>
        <w:bottom w:val="none" w:sz="0" w:space="0" w:color="auto"/>
        <w:right w:val="none" w:sz="0" w:space="0" w:color="auto"/>
      </w:divBdr>
      <w:divsChild>
        <w:div w:id="1165364800">
          <w:marLeft w:val="0"/>
          <w:marRight w:val="0"/>
          <w:marTop w:val="0"/>
          <w:marBottom w:val="0"/>
          <w:divBdr>
            <w:top w:val="single" w:sz="2" w:space="0" w:color="E3E3E3"/>
            <w:left w:val="single" w:sz="2" w:space="0" w:color="E3E3E3"/>
            <w:bottom w:val="single" w:sz="2" w:space="0" w:color="E3E3E3"/>
            <w:right w:val="single" w:sz="2" w:space="0" w:color="E3E3E3"/>
          </w:divBdr>
          <w:divsChild>
            <w:div w:id="2123379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653867353">
                  <w:marLeft w:val="0"/>
                  <w:marRight w:val="0"/>
                  <w:marTop w:val="0"/>
                  <w:marBottom w:val="0"/>
                  <w:divBdr>
                    <w:top w:val="single" w:sz="2" w:space="0" w:color="E3E3E3"/>
                    <w:left w:val="single" w:sz="2" w:space="0" w:color="E3E3E3"/>
                    <w:bottom w:val="single" w:sz="2" w:space="0" w:color="E3E3E3"/>
                    <w:right w:val="single" w:sz="2" w:space="0" w:color="E3E3E3"/>
                  </w:divBdr>
                  <w:divsChild>
                    <w:div w:id="400295385">
                      <w:marLeft w:val="0"/>
                      <w:marRight w:val="0"/>
                      <w:marTop w:val="0"/>
                      <w:marBottom w:val="0"/>
                      <w:divBdr>
                        <w:top w:val="single" w:sz="2" w:space="0" w:color="E3E3E3"/>
                        <w:left w:val="single" w:sz="2" w:space="0" w:color="E3E3E3"/>
                        <w:bottom w:val="single" w:sz="2" w:space="0" w:color="E3E3E3"/>
                        <w:right w:val="single" w:sz="2" w:space="0" w:color="E3E3E3"/>
                      </w:divBdr>
                      <w:divsChild>
                        <w:div w:id="1427262747">
                          <w:marLeft w:val="0"/>
                          <w:marRight w:val="0"/>
                          <w:marTop w:val="0"/>
                          <w:marBottom w:val="0"/>
                          <w:divBdr>
                            <w:top w:val="single" w:sz="2" w:space="0" w:color="E3E3E3"/>
                            <w:left w:val="single" w:sz="2" w:space="0" w:color="E3E3E3"/>
                            <w:bottom w:val="single" w:sz="2" w:space="0" w:color="E3E3E3"/>
                            <w:right w:val="single" w:sz="2" w:space="0" w:color="E3E3E3"/>
                          </w:divBdr>
                          <w:divsChild>
                            <w:div w:id="855268778">
                              <w:marLeft w:val="0"/>
                              <w:marRight w:val="0"/>
                              <w:marTop w:val="0"/>
                              <w:marBottom w:val="0"/>
                              <w:divBdr>
                                <w:top w:val="single" w:sz="2" w:space="0" w:color="E3E3E3"/>
                                <w:left w:val="single" w:sz="2" w:space="0" w:color="E3E3E3"/>
                                <w:bottom w:val="single" w:sz="2" w:space="0" w:color="E3E3E3"/>
                                <w:right w:val="single" w:sz="2" w:space="0" w:color="E3E3E3"/>
                              </w:divBdr>
                              <w:divsChild>
                                <w:div w:id="1886327457">
                                  <w:marLeft w:val="0"/>
                                  <w:marRight w:val="0"/>
                                  <w:marTop w:val="0"/>
                                  <w:marBottom w:val="0"/>
                                  <w:divBdr>
                                    <w:top w:val="single" w:sz="2" w:space="0" w:color="E3E3E3"/>
                                    <w:left w:val="single" w:sz="2" w:space="0" w:color="E3E3E3"/>
                                    <w:bottom w:val="single" w:sz="2" w:space="0" w:color="E3E3E3"/>
                                    <w:right w:val="single" w:sz="2" w:space="0" w:color="E3E3E3"/>
                                  </w:divBdr>
                                  <w:divsChild>
                                    <w:div w:id="1429037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58830465">
      <w:bodyDiv w:val="1"/>
      <w:marLeft w:val="0"/>
      <w:marRight w:val="0"/>
      <w:marTop w:val="0"/>
      <w:marBottom w:val="0"/>
      <w:divBdr>
        <w:top w:val="none" w:sz="0" w:space="0" w:color="auto"/>
        <w:left w:val="none" w:sz="0" w:space="0" w:color="auto"/>
        <w:bottom w:val="none" w:sz="0" w:space="0" w:color="auto"/>
        <w:right w:val="none" w:sz="0" w:space="0" w:color="auto"/>
      </w:divBdr>
    </w:div>
    <w:div w:id="1407798010">
      <w:bodyDiv w:val="1"/>
      <w:marLeft w:val="0"/>
      <w:marRight w:val="0"/>
      <w:marTop w:val="0"/>
      <w:marBottom w:val="0"/>
      <w:divBdr>
        <w:top w:val="none" w:sz="0" w:space="0" w:color="auto"/>
        <w:left w:val="none" w:sz="0" w:space="0" w:color="auto"/>
        <w:bottom w:val="none" w:sz="0" w:space="0" w:color="auto"/>
        <w:right w:val="none" w:sz="0" w:space="0" w:color="auto"/>
      </w:divBdr>
    </w:div>
    <w:div w:id="1422993805">
      <w:bodyDiv w:val="1"/>
      <w:marLeft w:val="0"/>
      <w:marRight w:val="0"/>
      <w:marTop w:val="0"/>
      <w:marBottom w:val="0"/>
      <w:divBdr>
        <w:top w:val="none" w:sz="0" w:space="0" w:color="auto"/>
        <w:left w:val="none" w:sz="0" w:space="0" w:color="auto"/>
        <w:bottom w:val="none" w:sz="0" w:space="0" w:color="auto"/>
        <w:right w:val="none" w:sz="0" w:space="0" w:color="auto"/>
      </w:divBdr>
    </w:div>
    <w:div w:id="1438678111">
      <w:bodyDiv w:val="1"/>
      <w:marLeft w:val="0"/>
      <w:marRight w:val="0"/>
      <w:marTop w:val="0"/>
      <w:marBottom w:val="0"/>
      <w:divBdr>
        <w:top w:val="none" w:sz="0" w:space="0" w:color="auto"/>
        <w:left w:val="none" w:sz="0" w:space="0" w:color="auto"/>
        <w:bottom w:val="none" w:sz="0" w:space="0" w:color="auto"/>
        <w:right w:val="none" w:sz="0" w:space="0" w:color="auto"/>
      </w:divBdr>
    </w:div>
    <w:div w:id="1443764473">
      <w:bodyDiv w:val="1"/>
      <w:marLeft w:val="0"/>
      <w:marRight w:val="0"/>
      <w:marTop w:val="0"/>
      <w:marBottom w:val="0"/>
      <w:divBdr>
        <w:top w:val="none" w:sz="0" w:space="0" w:color="auto"/>
        <w:left w:val="none" w:sz="0" w:space="0" w:color="auto"/>
        <w:bottom w:val="none" w:sz="0" w:space="0" w:color="auto"/>
        <w:right w:val="none" w:sz="0" w:space="0" w:color="auto"/>
      </w:divBdr>
    </w:div>
    <w:div w:id="1472291284">
      <w:bodyDiv w:val="1"/>
      <w:marLeft w:val="0"/>
      <w:marRight w:val="0"/>
      <w:marTop w:val="0"/>
      <w:marBottom w:val="0"/>
      <w:divBdr>
        <w:top w:val="none" w:sz="0" w:space="0" w:color="auto"/>
        <w:left w:val="none" w:sz="0" w:space="0" w:color="auto"/>
        <w:bottom w:val="none" w:sz="0" w:space="0" w:color="auto"/>
        <w:right w:val="none" w:sz="0" w:space="0" w:color="auto"/>
      </w:divBdr>
      <w:divsChild>
        <w:div w:id="31195171">
          <w:marLeft w:val="0"/>
          <w:marRight w:val="0"/>
          <w:marTop w:val="0"/>
          <w:marBottom w:val="0"/>
          <w:divBdr>
            <w:top w:val="none" w:sz="0" w:space="0" w:color="auto"/>
            <w:left w:val="none" w:sz="0" w:space="0" w:color="auto"/>
            <w:bottom w:val="none" w:sz="0" w:space="0" w:color="auto"/>
            <w:right w:val="none" w:sz="0" w:space="0" w:color="auto"/>
          </w:divBdr>
        </w:div>
        <w:div w:id="222563534">
          <w:marLeft w:val="0"/>
          <w:marRight w:val="0"/>
          <w:marTop w:val="0"/>
          <w:marBottom w:val="0"/>
          <w:divBdr>
            <w:top w:val="single" w:sz="2" w:space="0" w:color="D9D9E3"/>
            <w:left w:val="single" w:sz="2" w:space="0" w:color="D9D9E3"/>
            <w:bottom w:val="single" w:sz="2" w:space="0" w:color="D9D9E3"/>
            <w:right w:val="single" w:sz="2" w:space="0" w:color="D9D9E3"/>
          </w:divBdr>
          <w:divsChild>
            <w:div w:id="1933930994">
              <w:marLeft w:val="0"/>
              <w:marRight w:val="0"/>
              <w:marTop w:val="0"/>
              <w:marBottom w:val="0"/>
              <w:divBdr>
                <w:top w:val="single" w:sz="2" w:space="0" w:color="D9D9E3"/>
                <w:left w:val="single" w:sz="2" w:space="0" w:color="D9D9E3"/>
                <w:bottom w:val="single" w:sz="2" w:space="0" w:color="D9D9E3"/>
                <w:right w:val="single" w:sz="2" w:space="0" w:color="D9D9E3"/>
              </w:divBdr>
              <w:divsChild>
                <w:div w:id="1322079137">
                  <w:marLeft w:val="0"/>
                  <w:marRight w:val="0"/>
                  <w:marTop w:val="0"/>
                  <w:marBottom w:val="0"/>
                  <w:divBdr>
                    <w:top w:val="single" w:sz="2" w:space="0" w:color="D9D9E3"/>
                    <w:left w:val="single" w:sz="2" w:space="0" w:color="D9D9E3"/>
                    <w:bottom w:val="single" w:sz="2" w:space="0" w:color="D9D9E3"/>
                    <w:right w:val="single" w:sz="2" w:space="0" w:color="D9D9E3"/>
                  </w:divBdr>
                  <w:divsChild>
                    <w:div w:id="1857620311">
                      <w:marLeft w:val="0"/>
                      <w:marRight w:val="0"/>
                      <w:marTop w:val="0"/>
                      <w:marBottom w:val="0"/>
                      <w:divBdr>
                        <w:top w:val="single" w:sz="2" w:space="0" w:color="D9D9E3"/>
                        <w:left w:val="single" w:sz="2" w:space="0" w:color="D9D9E3"/>
                        <w:bottom w:val="single" w:sz="2" w:space="0" w:color="D9D9E3"/>
                        <w:right w:val="single" w:sz="2" w:space="0" w:color="D9D9E3"/>
                      </w:divBdr>
                      <w:divsChild>
                        <w:div w:id="1127896209">
                          <w:marLeft w:val="0"/>
                          <w:marRight w:val="0"/>
                          <w:marTop w:val="0"/>
                          <w:marBottom w:val="0"/>
                          <w:divBdr>
                            <w:top w:val="single" w:sz="2" w:space="0" w:color="D9D9E3"/>
                            <w:left w:val="single" w:sz="2" w:space="0" w:color="D9D9E3"/>
                            <w:bottom w:val="single" w:sz="2" w:space="0" w:color="D9D9E3"/>
                            <w:right w:val="single" w:sz="2" w:space="0" w:color="D9D9E3"/>
                          </w:divBdr>
                          <w:divsChild>
                            <w:div w:id="626011174">
                              <w:marLeft w:val="0"/>
                              <w:marRight w:val="0"/>
                              <w:marTop w:val="100"/>
                              <w:marBottom w:val="100"/>
                              <w:divBdr>
                                <w:top w:val="single" w:sz="2" w:space="0" w:color="D9D9E3"/>
                                <w:left w:val="single" w:sz="2" w:space="0" w:color="D9D9E3"/>
                                <w:bottom w:val="single" w:sz="2" w:space="0" w:color="D9D9E3"/>
                                <w:right w:val="single" w:sz="2" w:space="0" w:color="D9D9E3"/>
                              </w:divBdr>
                              <w:divsChild>
                                <w:div w:id="486090495">
                                  <w:marLeft w:val="0"/>
                                  <w:marRight w:val="0"/>
                                  <w:marTop w:val="0"/>
                                  <w:marBottom w:val="0"/>
                                  <w:divBdr>
                                    <w:top w:val="single" w:sz="2" w:space="0" w:color="D9D9E3"/>
                                    <w:left w:val="single" w:sz="2" w:space="0" w:color="D9D9E3"/>
                                    <w:bottom w:val="single" w:sz="2" w:space="0" w:color="D9D9E3"/>
                                    <w:right w:val="single" w:sz="2" w:space="0" w:color="D9D9E3"/>
                                  </w:divBdr>
                                  <w:divsChild>
                                    <w:div w:id="1887059780">
                                      <w:marLeft w:val="0"/>
                                      <w:marRight w:val="0"/>
                                      <w:marTop w:val="0"/>
                                      <w:marBottom w:val="0"/>
                                      <w:divBdr>
                                        <w:top w:val="single" w:sz="2" w:space="0" w:color="D9D9E3"/>
                                        <w:left w:val="single" w:sz="2" w:space="0" w:color="D9D9E3"/>
                                        <w:bottom w:val="single" w:sz="2" w:space="0" w:color="D9D9E3"/>
                                        <w:right w:val="single" w:sz="2" w:space="0" w:color="D9D9E3"/>
                                      </w:divBdr>
                                      <w:divsChild>
                                        <w:div w:id="363360180">
                                          <w:marLeft w:val="0"/>
                                          <w:marRight w:val="0"/>
                                          <w:marTop w:val="0"/>
                                          <w:marBottom w:val="0"/>
                                          <w:divBdr>
                                            <w:top w:val="single" w:sz="2" w:space="0" w:color="D9D9E3"/>
                                            <w:left w:val="single" w:sz="2" w:space="0" w:color="D9D9E3"/>
                                            <w:bottom w:val="single" w:sz="2" w:space="0" w:color="D9D9E3"/>
                                            <w:right w:val="single" w:sz="2" w:space="0" w:color="D9D9E3"/>
                                          </w:divBdr>
                                          <w:divsChild>
                                            <w:div w:id="1469931727">
                                              <w:marLeft w:val="0"/>
                                              <w:marRight w:val="0"/>
                                              <w:marTop w:val="0"/>
                                              <w:marBottom w:val="0"/>
                                              <w:divBdr>
                                                <w:top w:val="single" w:sz="2" w:space="0" w:color="D9D9E3"/>
                                                <w:left w:val="single" w:sz="2" w:space="0" w:color="D9D9E3"/>
                                                <w:bottom w:val="single" w:sz="2" w:space="0" w:color="D9D9E3"/>
                                                <w:right w:val="single" w:sz="2" w:space="0" w:color="D9D9E3"/>
                                              </w:divBdr>
                                              <w:divsChild>
                                                <w:div w:id="266155311">
                                                  <w:marLeft w:val="0"/>
                                                  <w:marRight w:val="0"/>
                                                  <w:marTop w:val="0"/>
                                                  <w:marBottom w:val="0"/>
                                                  <w:divBdr>
                                                    <w:top w:val="single" w:sz="2" w:space="0" w:color="D9D9E3"/>
                                                    <w:left w:val="single" w:sz="2" w:space="0" w:color="D9D9E3"/>
                                                    <w:bottom w:val="single" w:sz="2" w:space="0" w:color="D9D9E3"/>
                                                    <w:right w:val="single" w:sz="2" w:space="0" w:color="D9D9E3"/>
                                                  </w:divBdr>
                                                  <w:divsChild>
                                                    <w:div w:id="1602908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32722695">
      <w:bodyDiv w:val="1"/>
      <w:marLeft w:val="0"/>
      <w:marRight w:val="0"/>
      <w:marTop w:val="0"/>
      <w:marBottom w:val="0"/>
      <w:divBdr>
        <w:top w:val="none" w:sz="0" w:space="0" w:color="auto"/>
        <w:left w:val="none" w:sz="0" w:space="0" w:color="auto"/>
        <w:bottom w:val="none" w:sz="0" w:space="0" w:color="auto"/>
        <w:right w:val="none" w:sz="0" w:space="0" w:color="auto"/>
      </w:divBdr>
      <w:divsChild>
        <w:div w:id="497691356">
          <w:marLeft w:val="0"/>
          <w:marRight w:val="0"/>
          <w:marTop w:val="0"/>
          <w:marBottom w:val="0"/>
          <w:divBdr>
            <w:top w:val="none" w:sz="0" w:space="0" w:color="auto"/>
            <w:left w:val="none" w:sz="0" w:space="0" w:color="auto"/>
            <w:bottom w:val="none" w:sz="0" w:space="0" w:color="auto"/>
            <w:right w:val="none" w:sz="0" w:space="0" w:color="auto"/>
          </w:divBdr>
        </w:div>
        <w:div w:id="1589538627">
          <w:marLeft w:val="0"/>
          <w:marRight w:val="0"/>
          <w:marTop w:val="0"/>
          <w:marBottom w:val="0"/>
          <w:divBdr>
            <w:top w:val="single" w:sz="2" w:space="0" w:color="E3E3E3"/>
            <w:left w:val="single" w:sz="2" w:space="0" w:color="E3E3E3"/>
            <w:bottom w:val="single" w:sz="2" w:space="0" w:color="E3E3E3"/>
            <w:right w:val="single" w:sz="2" w:space="0" w:color="E3E3E3"/>
          </w:divBdr>
          <w:divsChild>
            <w:div w:id="1650745767">
              <w:marLeft w:val="0"/>
              <w:marRight w:val="0"/>
              <w:marTop w:val="0"/>
              <w:marBottom w:val="0"/>
              <w:divBdr>
                <w:top w:val="single" w:sz="2" w:space="0" w:color="E3E3E3"/>
                <w:left w:val="single" w:sz="2" w:space="0" w:color="E3E3E3"/>
                <w:bottom w:val="single" w:sz="2" w:space="0" w:color="E3E3E3"/>
                <w:right w:val="single" w:sz="2" w:space="0" w:color="E3E3E3"/>
              </w:divBdr>
              <w:divsChild>
                <w:div w:id="48959198">
                  <w:marLeft w:val="0"/>
                  <w:marRight w:val="0"/>
                  <w:marTop w:val="0"/>
                  <w:marBottom w:val="0"/>
                  <w:divBdr>
                    <w:top w:val="single" w:sz="2" w:space="0" w:color="E3E3E3"/>
                    <w:left w:val="single" w:sz="2" w:space="0" w:color="E3E3E3"/>
                    <w:bottom w:val="single" w:sz="2" w:space="0" w:color="E3E3E3"/>
                    <w:right w:val="single" w:sz="2" w:space="0" w:color="E3E3E3"/>
                  </w:divBdr>
                  <w:divsChild>
                    <w:div w:id="1079641105">
                      <w:marLeft w:val="0"/>
                      <w:marRight w:val="0"/>
                      <w:marTop w:val="0"/>
                      <w:marBottom w:val="0"/>
                      <w:divBdr>
                        <w:top w:val="single" w:sz="2" w:space="0" w:color="E3E3E3"/>
                        <w:left w:val="single" w:sz="2" w:space="0" w:color="E3E3E3"/>
                        <w:bottom w:val="single" w:sz="2" w:space="0" w:color="E3E3E3"/>
                        <w:right w:val="single" w:sz="2" w:space="0" w:color="E3E3E3"/>
                      </w:divBdr>
                      <w:divsChild>
                        <w:div w:id="986011893">
                          <w:marLeft w:val="0"/>
                          <w:marRight w:val="0"/>
                          <w:marTop w:val="0"/>
                          <w:marBottom w:val="0"/>
                          <w:divBdr>
                            <w:top w:val="single" w:sz="2" w:space="0" w:color="E3E3E3"/>
                            <w:left w:val="single" w:sz="2" w:space="0" w:color="E3E3E3"/>
                            <w:bottom w:val="single" w:sz="2" w:space="0" w:color="E3E3E3"/>
                            <w:right w:val="single" w:sz="2" w:space="0" w:color="E3E3E3"/>
                          </w:divBdr>
                          <w:divsChild>
                            <w:div w:id="1679885687">
                              <w:marLeft w:val="0"/>
                              <w:marRight w:val="0"/>
                              <w:marTop w:val="0"/>
                              <w:marBottom w:val="0"/>
                              <w:divBdr>
                                <w:top w:val="single" w:sz="2" w:space="0" w:color="E3E3E3"/>
                                <w:left w:val="single" w:sz="2" w:space="0" w:color="E3E3E3"/>
                                <w:bottom w:val="single" w:sz="2" w:space="0" w:color="E3E3E3"/>
                                <w:right w:val="single" w:sz="2" w:space="0" w:color="E3E3E3"/>
                              </w:divBdr>
                              <w:divsChild>
                                <w:div w:id="234585636">
                                  <w:marLeft w:val="0"/>
                                  <w:marRight w:val="0"/>
                                  <w:marTop w:val="100"/>
                                  <w:marBottom w:val="100"/>
                                  <w:divBdr>
                                    <w:top w:val="single" w:sz="2" w:space="0" w:color="E3E3E3"/>
                                    <w:left w:val="single" w:sz="2" w:space="0" w:color="E3E3E3"/>
                                    <w:bottom w:val="single" w:sz="2" w:space="0" w:color="E3E3E3"/>
                                    <w:right w:val="single" w:sz="2" w:space="0" w:color="E3E3E3"/>
                                  </w:divBdr>
                                  <w:divsChild>
                                    <w:div w:id="467671739">
                                      <w:marLeft w:val="0"/>
                                      <w:marRight w:val="0"/>
                                      <w:marTop w:val="0"/>
                                      <w:marBottom w:val="0"/>
                                      <w:divBdr>
                                        <w:top w:val="single" w:sz="2" w:space="0" w:color="E3E3E3"/>
                                        <w:left w:val="single" w:sz="2" w:space="0" w:color="E3E3E3"/>
                                        <w:bottom w:val="single" w:sz="2" w:space="0" w:color="E3E3E3"/>
                                        <w:right w:val="single" w:sz="2" w:space="0" w:color="E3E3E3"/>
                                      </w:divBdr>
                                      <w:divsChild>
                                        <w:div w:id="989867038">
                                          <w:marLeft w:val="0"/>
                                          <w:marRight w:val="0"/>
                                          <w:marTop w:val="0"/>
                                          <w:marBottom w:val="0"/>
                                          <w:divBdr>
                                            <w:top w:val="single" w:sz="2" w:space="0" w:color="E3E3E3"/>
                                            <w:left w:val="single" w:sz="2" w:space="0" w:color="E3E3E3"/>
                                            <w:bottom w:val="single" w:sz="2" w:space="0" w:color="E3E3E3"/>
                                            <w:right w:val="single" w:sz="2" w:space="0" w:color="E3E3E3"/>
                                          </w:divBdr>
                                          <w:divsChild>
                                            <w:div w:id="251285214">
                                              <w:marLeft w:val="0"/>
                                              <w:marRight w:val="0"/>
                                              <w:marTop w:val="0"/>
                                              <w:marBottom w:val="0"/>
                                              <w:divBdr>
                                                <w:top w:val="single" w:sz="2" w:space="0" w:color="E3E3E3"/>
                                                <w:left w:val="single" w:sz="2" w:space="0" w:color="E3E3E3"/>
                                                <w:bottom w:val="single" w:sz="2" w:space="0" w:color="E3E3E3"/>
                                                <w:right w:val="single" w:sz="2" w:space="0" w:color="E3E3E3"/>
                                              </w:divBdr>
                                              <w:divsChild>
                                                <w:div w:id="939607342">
                                                  <w:marLeft w:val="0"/>
                                                  <w:marRight w:val="0"/>
                                                  <w:marTop w:val="0"/>
                                                  <w:marBottom w:val="0"/>
                                                  <w:divBdr>
                                                    <w:top w:val="single" w:sz="2" w:space="0" w:color="E3E3E3"/>
                                                    <w:left w:val="single" w:sz="2" w:space="0" w:color="E3E3E3"/>
                                                    <w:bottom w:val="single" w:sz="2" w:space="0" w:color="E3E3E3"/>
                                                    <w:right w:val="single" w:sz="2" w:space="0" w:color="E3E3E3"/>
                                                  </w:divBdr>
                                                  <w:divsChild>
                                                    <w:div w:id="1715537381">
                                                      <w:marLeft w:val="0"/>
                                                      <w:marRight w:val="0"/>
                                                      <w:marTop w:val="0"/>
                                                      <w:marBottom w:val="0"/>
                                                      <w:divBdr>
                                                        <w:top w:val="single" w:sz="2" w:space="0" w:color="E3E3E3"/>
                                                        <w:left w:val="single" w:sz="2" w:space="0" w:color="E3E3E3"/>
                                                        <w:bottom w:val="single" w:sz="2" w:space="0" w:color="E3E3E3"/>
                                                        <w:right w:val="single" w:sz="2" w:space="0" w:color="E3E3E3"/>
                                                      </w:divBdr>
                                                      <w:divsChild>
                                                        <w:div w:id="1790316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558127554">
      <w:bodyDiv w:val="1"/>
      <w:marLeft w:val="0"/>
      <w:marRight w:val="0"/>
      <w:marTop w:val="0"/>
      <w:marBottom w:val="0"/>
      <w:divBdr>
        <w:top w:val="none" w:sz="0" w:space="0" w:color="auto"/>
        <w:left w:val="none" w:sz="0" w:space="0" w:color="auto"/>
        <w:bottom w:val="none" w:sz="0" w:space="0" w:color="auto"/>
        <w:right w:val="none" w:sz="0" w:space="0" w:color="auto"/>
      </w:divBdr>
    </w:div>
    <w:div w:id="1563717114">
      <w:bodyDiv w:val="1"/>
      <w:marLeft w:val="0"/>
      <w:marRight w:val="0"/>
      <w:marTop w:val="0"/>
      <w:marBottom w:val="0"/>
      <w:divBdr>
        <w:top w:val="none" w:sz="0" w:space="0" w:color="auto"/>
        <w:left w:val="none" w:sz="0" w:space="0" w:color="auto"/>
        <w:bottom w:val="none" w:sz="0" w:space="0" w:color="auto"/>
        <w:right w:val="none" w:sz="0" w:space="0" w:color="auto"/>
      </w:divBdr>
    </w:div>
    <w:div w:id="1594582939">
      <w:bodyDiv w:val="1"/>
      <w:marLeft w:val="0"/>
      <w:marRight w:val="0"/>
      <w:marTop w:val="0"/>
      <w:marBottom w:val="0"/>
      <w:divBdr>
        <w:top w:val="none" w:sz="0" w:space="0" w:color="auto"/>
        <w:left w:val="none" w:sz="0" w:space="0" w:color="auto"/>
        <w:bottom w:val="none" w:sz="0" w:space="0" w:color="auto"/>
        <w:right w:val="none" w:sz="0" w:space="0" w:color="auto"/>
      </w:divBdr>
      <w:divsChild>
        <w:div w:id="505750666">
          <w:marLeft w:val="0"/>
          <w:marRight w:val="0"/>
          <w:marTop w:val="0"/>
          <w:marBottom w:val="0"/>
          <w:divBdr>
            <w:top w:val="none" w:sz="0" w:space="0" w:color="auto"/>
            <w:left w:val="none" w:sz="0" w:space="0" w:color="auto"/>
            <w:bottom w:val="none" w:sz="0" w:space="0" w:color="auto"/>
            <w:right w:val="none" w:sz="0" w:space="0" w:color="auto"/>
          </w:divBdr>
          <w:divsChild>
            <w:div w:id="1917863128">
              <w:marLeft w:val="0"/>
              <w:marRight w:val="0"/>
              <w:marTop w:val="0"/>
              <w:marBottom w:val="0"/>
              <w:divBdr>
                <w:top w:val="none" w:sz="0" w:space="0" w:color="auto"/>
                <w:left w:val="none" w:sz="0" w:space="0" w:color="auto"/>
                <w:bottom w:val="none" w:sz="0" w:space="0" w:color="auto"/>
                <w:right w:val="none" w:sz="0" w:space="0" w:color="auto"/>
              </w:divBdr>
              <w:divsChild>
                <w:div w:id="2061858660">
                  <w:marLeft w:val="0"/>
                  <w:marRight w:val="0"/>
                  <w:marTop w:val="0"/>
                  <w:marBottom w:val="0"/>
                  <w:divBdr>
                    <w:top w:val="none" w:sz="0" w:space="0" w:color="auto"/>
                    <w:left w:val="none" w:sz="0" w:space="0" w:color="auto"/>
                    <w:bottom w:val="none" w:sz="0" w:space="0" w:color="auto"/>
                    <w:right w:val="none" w:sz="0" w:space="0" w:color="auto"/>
                  </w:divBdr>
                  <w:divsChild>
                    <w:div w:id="1802841968">
                      <w:marLeft w:val="0"/>
                      <w:marRight w:val="0"/>
                      <w:marTop w:val="0"/>
                      <w:marBottom w:val="0"/>
                      <w:divBdr>
                        <w:top w:val="none" w:sz="0" w:space="0" w:color="auto"/>
                        <w:left w:val="none" w:sz="0" w:space="0" w:color="auto"/>
                        <w:bottom w:val="none" w:sz="0" w:space="0" w:color="auto"/>
                        <w:right w:val="none" w:sz="0" w:space="0" w:color="auto"/>
                      </w:divBdr>
                      <w:divsChild>
                        <w:div w:id="74866247">
                          <w:marLeft w:val="0"/>
                          <w:marRight w:val="0"/>
                          <w:marTop w:val="0"/>
                          <w:marBottom w:val="0"/>
                          <w:divBdr>
                            <w:top w:val="none" w:sz="0" w:space="0" w:color="auto"/>
                            <w:left w:val="none" w:sz="0" w:space="0" w:color="auto"/>
                            <w:bottom w:val="none" w:sz="0" w:space="0" w:color="auto"/>
                            <w:right w:val="none" w:sz="0" w:space="0" w:color="auto"/>
                          </w:divBdr>
                          <w:divsChild>
                            <w:div w:id="14571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618193">
      <w:bodyDiv w:val="1"/>
      <w:marLeft w:val="0"/>
      <w:marRight w:val="0"/>
      <w:marTop w:val="0"/>
      <w:marBottom w:val="0"/>
      <w:divBdr>
        <w:top w:val="none" w:sz="0" w:space="0" w:color="auto"/>
        <w:left w:val="none" w:sz="0" w:space="0" w:color="auto"/>
        <w:bottom w:val="none" w:sz="0" w:space="0" w:color="auto"/>
        <w:right w:val="none" w:sz="0" w:space="0" w:color="auto"/>
      </w:divBdr>
      <w:divsChild>
        <w:div w:id="622032106">
          <w:marLeft w:val="0"/>
          <w:marRight w:val="0"/>
          <w:marTop w:val="0"/>
          <w:marBottom w:val="0"/>
          <w:divBdr>
            <w:top w:val="none" w:sz="0" w:space="0" w:color="auto"/>
            <w:left w:val="none" w:sz="0" w:space="0" w:color="auto"/>
            <w:bottom w:val="none" w:sz="0" w:space="0" w:color="auto"/>
            <w:right w:val="none" w:sz="0" w:space="0" w:color="auto"/>
          </w:divBdr>
        </w:div>
        <w:div w:id="1326199530">
          <w:marLeft w:val="0"/>
          <w:marRight w:val="0"/>
          <w:marTop w:val="0"/>
          <w:marBottom w:val="0"/>
          <w:divBdr>
            <w:top w:val="single" w:sz="2" w:space="0" w:color="E3E3E3"/>
            <w:left w:val="single" w:sz="2" w:space="0" w:color="E3E3E3"/>
            <w:bottom w:val="single" w:sz="2" w:space="0" w:color="E3E3E3"/>
            <w:right w:val="single" w:sz="2" w:space="0" w:color="E3E3E3"/>
          </w:divBdr>
          <w:divsChild>
            <w:div w:id="1594319894">
              <w:marLeft w:val="0"/>
              <w:marRight w:val="0"/>
              <w:marTop w:val="0"/>
              <w:marBottom w:val="0"/>
              <w:divBdr>
                <w:top w:val="single" w:sz="2" w:space="0" w:color="E3E3E3"/>
                <w:left w:val="single" w:sz="2" w:space="0" w:color="E3E3E3"/>
                <w:bottom w:val="single" w:sz="2" w:space="0" w:color="E3E3E3"/>
                <w:right w:val="single" w:sz="2" w:space="0" w:color="E3E3E3"/>
              </w:divBdr>
              <w:divsChild>
                <w:div w:id="630014950">
                  <w:marLeft w:val="0"/>
                  <w:marRight w:val="0"/>
                  <w:marTop w:val="0"/>
                  <w:marBottom w:val="0"/>
                  <w:divBdr>
                    <w:top w:val="single" w:sz="2" w:space="0" w:color="E3E3E3"/>
                    <w:left w:val="single" w:sz="2" w:space="0" w:color="E3E3E3"/>
                    <w:bottom w:val="single" w:sz="2" w:space="0" w:color="E3E3E3"/>
                    <w:right w:val="single" w:sz="2" w:space="0" w:color="E3E3E3"/>
                  </w:divBdr>
                  <w:divsChild>
                    <w:div w:id="1319263933">
                      <w:marLeft w:val="0"/>
                      <w:marRight w:val="0"/>
                      <w:marTop w:val="0"/>
                      <w:marBottom w:val="0"/>
                      <w:divBdr>
                        <w:top w:val="single" w:sz="2" w:space="0" w:color="E3E3E3"/>
                        <w:left w:val="single" w:sz="2" w:space="0" w:color="E3E3E3"/>
                        <w:bottom w:val="single" w:sz="2" w:space="0" w:color="E3E3E3"/>
                        <w:right w:val="single" w:sz="2" w:space="0" w:color="E3E3E3"/>
                      </w:divBdr>
                      <w:divsChild>
                        <w:div w:id="913853984">
                          <w:marLeft w:val="0"/>
                          <w:marRight w:val="0"/>
                          <w:marTop w:val="0"/>
                          <w:marBottom w:val="0"/>
                          <w:divBdr>
                            <w:top w:val="single" w:sz="2" w:space="0" w:color="E3E3E3"/>
                            <w:left w:val="single" w:sz="2" w:space="0" w:color="E3E3E3"/>
                            <w:bottom w:val="single" w:sz="2" w:space="0" w:color="E3E3E3"/>
                            <w:right w:val="single" w:sz="2" w:space="0" w:color="E3E3E3"/>
                          </w:divBdr>
                          <w:divsChild>
                            <w:div w:id="1350184090">
                              <w:marLeft w:val="0"/>
                              <w:marRight w:val="0"/>
                              <w:marTop w:val="0"/>
                              <w:marBottom w:val="0"/>
                              <w:divBdr>
                                <w:top w:val="single" w:sz="2" w:space="0" w:color="E3E3E3"/>
                                <w:left w:val="single" w:sz="2" w:space="0" w:color="E3E3E3"/>
                                <w:bottom w:val="single" w:sz="2" w:space="0" w:color="E3E3E3"/>
                                <w:right w:val="single" w:sz="2" w:space="0" w:color="E3E3E3"/>
                              </w:divBdr>
                              <w:divsChild>
                                <w:div w:id="648948274">
                                  <w:marLeft w:val="0"/>
                                  <w:marRight w:val="0"/>
                                  <w:marTop w:val="100"/>
                                  <w:marBottom w:val="100"/>
                                  <w:divBdr>
                                    <w:top w:val="single" w:sz="2" w:space="0" w:color="E3E3E3"/>
                                    <w:left w:val="single" w:sz="2" w:space="0" w:color="E3E3E3"/>
                                    <w:bottom w:val="single" w:sz="2" w:space="0" w:color="E3E3E3"/>
                                    <w:right w:val="single" w:sz="2" w:space="0" w:color="E3E3E3"/>
                                  </w:divBdr>
                                  <w:divsChild>
                                    <w:div w:id="776025446">
                                      <w:marLeft w:val="0"/>
                                      <w:marRight w:val="0"/>
                                      <w:marTop w:val="0"/>
                                      <w:marBottom w:val="0"/>
                                      <w:divBdr>
                                        <w:top w:val="single" w:sz="2" w:space="0" w:color="E3E3E3"/>
                                        <w:left w:val="single" w:sz="2" w:space="0" w:color="E3E3E3"/>
                                        <w:bottom w:val="single" w:sz="2" w:space="0" w:color="E3E3E3"/>
                                        <w:right w:val="single" w:sz="2" w:space="0" w:color="E3E3E3"/>
                                      </w:divBdr>
                                      <w:divsChild>
                                        <w:div w:id="415782269">
                                          <w:marLeft w:val="0"/>
                                          <w:marRight w:val="0"/>
                                          <w:marTop w:val="0"/>
                                          <w:marBottom w:val="0"/>
                                          <w:divBdr>
                                            <w:top w:val="single" w:sz="2" w:space="0" w:color="E3E3E3"/>
                                            <w:left w:val="single" w:sz="2" w:space="0" w:color="E3E3E3"/>
                                            <w:bottom w:val="single" w:sz="2" w:space="0" w:color="E3E3E3"/>
                                            <w:right w:val="single" w:sz="2" w:space="0" w:color="E3E3E3"/>
                                          </w:divBdr>
                                          <w:divsChild>
                                            <w:div w:id="105736560">
                                              <w:marLeft w:val="0"/>
                                              <w:marRight w:val="0"/>
                                              <w:marTop w:val="0"/>
                                              <w:marBottom w:val="0"/>
                                              <w:divBdr>
                                                <w:top w:val="single" w:sz="2" w:space="0" w:color="E3E3E3"/>
                                                <w:left w:val="single" w:sz="2" w:space="0" w:color="E3E3E3"/>
                                                <w:bottom w:val="single" w:sz="2" w:space="0" w:color="E3E3E3"/>
                                                <w:right w:val="single" w:sz="2" w:space="0" w:color="E3E3E3"/>
                                              </w:divBdr>
                                              <w:divsChild>
                                                <w:div w:id="1206722128">
                                                  <w:marLeft w:val="0"/>
                                                  <w:marRight w:val="0"/>
                                                  <w:marTop w:val="0"/>
                                                  <w:marBottom w:val="0"/>
                                                  <w:divBdr>
                                                    <w:top w:val="single" w:sz="2" w:space="0" w:color="E3E3E3"/>
                                                    <w:left w:val="single" w:sz="2" w:space="0" w:color="E3E3E3"/>
                                                    <w:bottom w:val="single" w:sz="2" w:space="0" w:color="E3E3E3"/>
                                                    <w:right w:val="single" w:sz="2" w:space="0" w:color="E3E3E3"/>
                                                  </w:divBdr>
                                                  <w:divsChild>
                                                    <w:div w:id="24841108">
                                                      <w:marLeft w:val="0"/>
                                                      <w:marRight w:val="0"/>
                                                      <w:marTop w:val="0"/>
                                                      <w:marBottom w:val="0"/>
                                                      <w:divBdr>
                                                        <w:top w:val="single" w:sz="2" w:space="0" w:color="E3E3E3"/>
                                                        <w:left w:val="single" w:sz="2" w:space="0" w:color="E3E3E3"/>
                                                        <w:bottom w:val="single" w:sz="2" w:space="0" w:color="E3E3E3"/>
                                                        <w:right w:val="single" w:sz="2" w:space="0" w:color="E3E3E3"/>
                                                      </w:divBdr>
                                                      <w:divsChild>
                                                        <w:div w:id="1200357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712924526">
      <w:bodyDiv w:val="1"/>
      <w:marLeft w:val="0"/>
      <w:marRight w:val="0"/>
      <w:marTop w:val="0"/>
      <w:marBottom w:val="0"/>
      <w:divBdr>
        <w:top w:val="none" w:sz="0" w:space="0" w:color="auto"/>
        <w:left w:val="none" w:sz="0" w:space="0" w:color="auto"/>
        <w:bottom w:val="none" w:sz="0" w:space="0" w:color="auto"/>
        <w:right w:val="none" w:sz="0" w:space="0" w:color="auto"/>
      </w:divBdr>
    </w:div>
    <w:div w:id="1729526968">
      <w:bodyDiv w:val="1"/>
      <w:marLeft w:val="0"/>
      <w:marRight w:val="0"/>
      <w:marTop w:val="0"/>
      <w:marBottom w:val="0"/>
      <w:divBdr>
        <w:top w:val="none" w:sz="0" w:space="0" w:color="auto"/>
        <w:left w:val="none" w:sz="0" w:space="0" w:color="auto"/>
        <w:bottom w:val="none" w:sz="0" w:space="0" w:color="auto"/>
        <w:right w:val="none" w:sz="0" w:space="0" w:color="auto"/>
      </w:divBdr>
    </w:div>
    <w:div w:id="1737777960">
      <w:bodyDiv w:val="1"/>
      <w:marLeft w:val="0"/>
      <w:marRight w:val="0"/>
      <w:marTop w:val="0"/>
      <w:marBottom w:val="0"/>
      <w:divBdr>
        <w:top w:val="none" w:sz="0" w:space="0" w:color="auto"/>
        <w:left w:val="none" w:sz="0" w:space="0" w:color="auto"/>
        <w:bottom w:val="none" w:sz="0" w:space="0" w:color="auto"/>
        <w:right w:val="none" w:sz="0" w:space="0" w:color="auto"/>
      </w:divBdr>
      <w:divsChild>
        <w:div w:id="568612486">
          <w:marLeft w:val="0"/>
          <w:marRight w:val="0"/>
          <w:marTop w:val="0"/>
          <w:marBottom w:val="0"/>
          <w:divBdr>
            <w:top w:val="none" w:sz="0" w:space="0" w:color="auto"/>
            <w:left w:val="none" w:sz="0" w:space="0" w:color="auto"/>
            <w:bottom w:val="none" w:sz="0" w:space="0" w:color="auto"/>
            <w:right w:val="none" w:sz="0" w:space="0" w:color="auto"/>
          </w:divBdr>
        </w:div>
        <w:div w:id="777674745">
          <w:marLeft w:val="0"/>
          <w:marRight w:val="0"/>
          <w:marTop w:val="0"/>
          <w:marBottom w:val="0"/>
          <w:divBdr>
            <w:top w:val="single" w:sz="2" w:space="0" w:color="D9D9E3"/>
            <w:left w:val="single" w:sz="2" w:space="0" w:color="D9D9E3"/>
            <w:bottom w:val="single" w:sz="2" w:space="0" w:color="D9D9E3"/>
            <w:right w:val="single" w:sz="2" w:space="0" w:color="D9D9E3"/>
          </w:divBdr>
          <w:divsChild>
            <w:div w:id="1709839956">
              <w:marLeft w:val="0"/>
              <w:marRight w:val="0"/>
              <w:marTop w:val="0"/>
              <w:marBottom w:val="0"/>
              <w:divBdr>
                <w:top w:val="single" w:sz="2" w:space="0" w:color="D9D9E3"/>
                <w:left w:val="single" w:sz="2" w:space="0" w:color="D9D9E3"/>
                <w:bottom w:val="single" w:sz="2" w:space="0" w:color="D9D9E3"/>
                <w:right w:val="single" w:sz="2" w:space="0" w:color="D9D9E3"/>
              </w:divBdr>
              <w:divsChild>
                <w:div w:id="1469130434">
                  <w:marLeft w:val="0"/>
                  <w:marRight w:val="0"/>
                  <w:marTop w:val="0"/>
                  <w:marBottom w:val="0"/>
                  <w:divBdr>
                    <w:top w:val="single" w:sz="2" w:space="0" w:color="D9D9E3"/>
                    <w:left w:val="single" w:sz="2" w:space="0" w:color="D9D9E3"/>
                    <w:bottom w:val="single" w:sz="2" w:space="0" w:color="D9D9E3"/>
                    <w:right w:val="single" w:sz="2" w:space="0" w:color="D9D9E3"/>
                  </w:divBdr>
                  <w:divsChild>
                    <w:div w:id="269288914">
                      <w:marLeft w:val="0"/>
                      <w:marRight w:val="0"/>
                      <w:marTop w:val="0"/>
                      <w:marBottom w:val="0"/>
                      <w:divBdr>
                        <w:top w:val="single" w:sz="2" w:space="0" w:color="D9D9E3"/>
                        <w:left w:val="single" w:sz="2" w:space="0" w:color="D9D9E3"/>
                        <w:bottom w:val="single" w:sz="2" w:space="0" w:color="D9D9E3"/>
                        <w:right w:val="single" w:sz="2" w:space="0" w:color="D9D9E3"/>
                      </w:divBdr>
                      <w:divsChild>
                        <w:div w:id="1741244561">
                          <w:marLeft w:val="0"/>
                          <w:marRight w:val="0"/>
                          <w:marTop w:val="0"/>
                          <w:marBottom w:val="0"/>
                          <w:divBdr>
                            <w:top w:val="single" w:sz="2" w:space="0" w:color="D9D9E3"/>
                            <w:left w:val="single" w:sz="2" w:space="0" w:color="D9D9E3"/>
                            <w:bottom w:val="single" w:sz="2" w:space="0" w:color="D9D9E3"/>
                            <w:right w:val="single" w:sz="2" w:space="0" w:color="D9D9E3"/>
                          </w:divBdr>
                          <w:divsChild>
                            <w:div w:id="1560550872">
                              <w:marLeft w:val="0"/>
                              <w:marRight w:val="0"/>
                              <w:marTop w:val="100"/>
                              <w:marBottom w:val="100"/>
                              <w:divBdr>
                                <w:top w:val="single" w:sz="2" w:space="0" w:color="D9D9E3"/>
                                <w:left w:val="single" w:sz="2" w:space="0" w:color="D9D9E3"/>
                                <w:bottom w:val="single" w:sz="2" w:space="0" w:color="D9D9E3"/>
                                <w:right w:val="single" w:sz="2" w:space="0" w:color="D9D9E3"/>
                              </w:divBdr>
                              <w:divsChild>
                                <w:div w:id="1571111022">
                                  <w:marLeft w:val="0"/>
                                  <w:marRight w:val="0"/>
                                  <w:marTop w:val="0"/>
                                  <w:marBottom w:val="0"/>
                                  <w:divBdr>
                                    <w:top w:val="single" w:sz="2" w:space="0" w:color="D9D9E3"/>
                                    <w:left w:val="single" w:sz="2" w:space="0" w:color="D9D9E3"/>
                                    <w:bottom w:val="single" w:sz="2" w:space="0" w:color="D9D9E3"/>
                                    <w:right w:val="single" w:sz="2" w:space="0" w:color="D9D9E3"/>
                                  </w:divBdr>
                                  <w:divsChild>
                                    <w:div w:id="1515149624">
                                      <w:marLeft w:val="0"/>
                                      <w:marRight w:val="0"/>
                                      <w:marTop w:val="0"/>
                                      <w:marBottom w:val="0"/>
                                      <w:divBdr>
                                        <w:top w:val="single" w:sz="2" w:space="0" w:color="D9D9E3"/>
                                        <w:left w:val="single" w:sz="2" w:space="0" w:color="D9D9E3"/>
                                        <w:bottom w:val="single" w:sz="2" w:space="0" w:color="D9D9E3"/>
                                        <w:right w:val="single" w:sz="2" w:space="0" w:color="D9D9E3"/>
                                      </w:divBdr>
                                      <w:divsChild>
                                        <w:div w:id="1690371038">
                                          <w:marLeft w:val="0"/>
                                          <w:marRight w:val="0"/>
                                          <w:marTop w:val="0"/>
                                          <w:marBottom w:val="0"/>
                                          <w:divBdr>
                                            <w:top w:val="single" w:sz="2" w:space="0" w:color="D9D9E3"/>
                                            <w:left w:val="single" w:sz="2" w:space="0" w:color="D9D9E3"/>
                                            <w:bottom w:val="single" w:sz="2" w:space="0" w:color="D9D9E3"/>
                                            <w:right w:val="single" w:sz="2" w:space="0" w:color="D9D9E3"/>
                                          </w:divBdr>
                                          <w:divsChild>
                                            <w:div w:id="1060638990">
                                              <w:marLeft w:val="0"/>
                                              <w:marRight w:val="0"/>
                                              <w:marTop w:val="0"/>
                                              <w:marBottom w:val="0"/>
                                              <w:divBdr>
                                                <w:top w:val="single" w:sz="2" w:space="0" w:color="D9D9E3"/>
                                                <w:left w:val="single" w:sz="2" w:space="0" w:color="D9D9E3"/>
                                                <w:bottom w:val="single" w:sz="2" w:space="0" w:color="D9D9E3"/>
                                                <w:right w:val="single" w:sz="2" w:space="0" w:color="D9D9E3"/>
                                              </w:divBdr>
                                              <w:divsChild>
                                                <w:div w:id="391196800">
                                                  <w:marLeft w:val="0"/>
                                                  <w:marRight w:val="0"/>
                                                  <w:marTop w:val="0"/>
                                                  <w:marBottom w:val="0"/>
                                                  <w:divBdr>
                                                    <w:top w:val="single" w:sz="2" w:space="0" w:color="D9D9E3"/>
                                                    <w:left w:val="single" w:sz="2" w:space="0" w:color="D9D9E3"/>
                                                    <w:bottom w:val="single" w:sz="2" w:space="0" w:color="D9D9E3"/>
                                                    <w:right w:val="single" w:sz="2" w:space="0" w:color="D9D9E3"/>
                                                  </w:divBdr>
                                                  <w:divsChild>
                                                    <w:div w:id="939410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65883495">
      <w:bodyDiv w:val="1"/>
      <w:marLeft w:val="0"/>
      <w:marRight w:val="0"/>
      <w:marTop w:val="0"/>
      <w:marBottom w:val="0"/>
      <w:divBdr>
        <w:top w:val="none" w:sz="0" w:space="0" w:color="auto"/>
        <w:left w:val="none" w:sz="0" w:space="0" w:color="auto"/>
        <w:bottom w:val="none" w:sz="0" w:space="0" w:color="auto"/>
        <w:right w:val="none" w:sz="0" w:space="0" w:color="auto"/>
      </w:divBdr>
    </w:div>
    <w:div w:id="1767269595">
      <w:bodyDiv w:val="1"/>
      <w:marLeft w:val="0"/>
      <w:marRight w:val="0"/>
      <w:marTop w:val="0"/>
      <w:marBottom w:val="0"/>
      <w:divBdr>
        <w:top w:val="none" w:sz="0" w:space="0" w:color="auto"/>
        <w:left w:val="none" w:sz="0" w:space="0" w:color="auto"/>
        <w:bottom w:val="none" w:sz="0" w:space="0" w:color="auto"/>
        <w:right w:val="none" w:sz="0" w:space="0" w:color="auto"/>
      </w:divBdr>
    </w:div>
    <w:div w:id="1770345435">
      <w:bodyDiv w:val="1"/>
      <w:marLeft w:val="0"/>
      <w:marRight w:val="0"/>
      <w:marTop w:val="0"/>
      <w:marBottom w:val="0"/>
      <w:divBdr>
        <w:top w:val="none" w:sz="0" w:space="0" w:color="auto"/>
        <w:left w:val="none" w:sz="0" w:space="0" w:color="auto"/>
        <w:bottom w:val="none" w:sz="0" w:space="0" w:color="auto"/>
        <w:right w:val="none" w:sz="0" w:space="0" w:color="auto"/>
      </w:divBdr>
    </w:div>
    <w:div w:id="1777215318">
      <w:bodyDiv w:val="1"/>
      <w:marLeft w:val="0"/>
      <w:marRight w:val="0"/>
      <w:marTop w:val="0"/>
      <w:marBottom w:val="0"/>
      <w:divBdr>
        <w:top w:val="none" w:sz="0" w:space="0" w:color="auto"/>
        <w:left w:val="none" w:sz="0" w:space="0" w:color="auto"/>
        <w:bottom w:val="none" w:sz="0" w:space="0" w:color="auto"/>
        <w:right w:val="none" w:sz="0" w:space="0" w:color="auto"/>
      </w:divBdr>
    </w:div>
    <w:div w:id="1835298279">
      <w:bodyDiv w:val="1"/>
      <w:marLeft w:val="0"/>
      <w:marRight w:val="0"/>
      <w:marTop w:val="0"/>
      <w:marBottom w:val="0"/>
      <w:divBdr>
        <w:top w:val="none" w:sz="0" w:space="0" w:color="auto"/>
        <w:left w:val="none" w:sz="0" w:space="0" w:color="auto"/>
        <w:bottom w:val="none" w:sz="0" w:space="0" w:color="auto"/>
        <w:right w:val="none" w:sz="0" w:space="0" w:color="auto"/>
      </w:divBdr>
    </w:div>
    <w:div w:id="1863399504">
      <w:bodyDiv w:val="1"/>
      <w:marLeft w:val="0"/>
      <w:marRight w:val="0"/>
      <w:marTop w:val="0"/>
      <w:marBottom w:val="0"/>
      <w:divBdr>
        <w:top w:val="none" w:sz="0" w:space="0" w:color="auto"/>
        <w:left w:val="none" w:sz="0" w:space="0" w:color="auto"/>
        <w:bottom w:val="none" w:sz="0" w:space="0" w:color="auto"/>
        <w:right w:val="none" w:sz="0" w:space="0" w:color="auto"/>
      </w:divBdr>
    </w:div>
    <w:div w:id="1895853407">
      <w:bodyDiv w:val="1"/>
      <w:marLeft w:val="0"/>
      <w:marRight w:val="0"/>
      <w:marTop w:val="0"/>
      <w:marBottom w:val="0"/>
      <w:divBdr>
        <w:top w:val="none" w:sz="0" w:space="0" w:color="auto"/>
        <w:left w:val="none" w:sz="0" w:space="0" w:color="auto"/>
        <w:bottom w:val="none" w:sz="0" w:space="0" w:color="auto"/>
        <w:right w:val="none" w:sz="0" w:space="0" w:color="auto"/>
      </w:divBdr>
    </w:div>
    <w:div w:id="1910119076">
      <w:bodyDiv w:val="1"/>
      <w:marLeft w:val="0"/>
      <w:marRight w:val="0"/>
      <w:marTop w:val="0"/>
      <w:marBottom w:val="0"/>
      <w:divBdr>
        <w:top w:val="none" w:sz="0" w:space="0" w:color="auto"/>
        <w:left w:val="none" w:sz="0" w:space="0" w:color="auto"/>
        <w:bottom w:val="none" w:sz="0" w:space="0" w:color="auto"/>
        <w:right w:val="none" w:sz="0" w:space="0" w:color="auto"/>
      </w:divBdr>
    </w:div>
    <w:div w:id="1925063257">
      <w:bodyDiv w:val="1"/>
      <w:marLeft w:val="0"/>
      <w:marRight w:val="0"/>
      <w:marTop w:val="0"/>
      <w:marBottom w:val="0"/>
      <w:divBdr>
        <w:top w:val="none" w:sz="0" w:space="0" w:color="auto"/>
        <w:left w:val="none" w:sz="0" w:space="0" w:color="auto"/>
        <w:bottom w:val="none" w:sz="0" w:space="0" w:color="auto"/>
        <w:right w:val="none" w:sz="0" w:space="0" w:color="auto"/>
      </w:divBdr>
    </w:div>
    <w:div w:id="1999503723">
      <w:bodyDiv w:val="1"/>
      <w:marLeft w:val="0"/>
      <w:marRight w:val="0"/>
      <w:marTop w:val="0"/>
      <w:marBottom w:val="0"/>
      <w:divBdr>
        <w:top w:val="none" w:sz="0" w:space="0" w:color="auto"/>
        <w:left w:val="none" w:sz="0" w:space="0" w:color="auto"/>
        <w:bottom w:val="none" w:sz="0" w:space="0" w:color="auto"/>
        <w:right w:val="none" w:sz="0" w:space="0" w:color="auto"/>
      </w:divBdr>
    </w:div>
    <w:div w:id="2033534091">
      <w:bodyDiv w:val="1"/>
      <w:marLeft w:val="0"/>
      <w:marRight w:val="0"/>
      <w:marTop w:val="0"/>
      <w:marBottom w:val="0"/>
      <w:divBdr>
        <w:top w:val="none" w:sz="0" w:space="0" w:color="auto"/>
        <w:left w:val="none" w:sz="0" w:space="0" w:color="auto"/>
        <w:bottom w:val="none" w:sz="0" w:space="0" w:color="auto"/>
        <w:right w:val="none" w:sz="0" w:space="0" w:color="auto"/>
      </w:divBdr>
    </w:div>
    <w:div w:id="2077819850">
      <w:bodyDiv w:val="1"/>
      <w:marLeft w:val="0"/>
      <w:marRight w:val="0"/>
      <w:marTop w:val="0"/>
      <w:marBottom w:val="0"/>
      <w:divBdr>
        <w:top w:val="none" w:sz="0" w:space="0" w:color="auto"/>
        <w:left w:val="none" w:sz="0" w:space="0" w:color="auto"/>
        <w:bottom w:val="none" w:sz="0" w:space="0" w:color="auto"/>
        <w:right w:val="none" w:sz="0" w:space="0" w:color="auto"/>
      </w:divBdr>
    </w:div>
    <w:div w:id="2125613470">
      <w:bodyDiv w:val="1"/>
      <w:marLeft w:val="0"/>
      <w:marRight w:val="0"/>
      <w:marTop w:val="0"/>
      <w:marBottom w:val="0"/>
      <w:divBdr>
        <w:top w:val="none" w:sz="0" w:space="0" w:color="auto"/>
        <w:left w:val="none" w:sz="0" w:space="0" w:color="auto"/>
        <w:bottom w:val="none" w:sz="0" w:space="0" w:color="auto"/>
        <w:right w:val="none" w:sz="0" w:space="0" w:color="auto"/>
      </w:divBdr>
    </w:div>
    <w:div w:id="2130315491">
      <w:bodyDiv w:val="1"/>
      <w:marLeft w:val="0"/>
      <w:marRight w:val="0"/>
      <w:marTop w:val="0"/>
      <w:marBottom w:val="0"/>
      <w:divBdr>
        <w:top w:val="none" w:sz="0" w:space="0" w:color="auto"/>
        <w:left w:val="none" w:sz="0" w:space="0" w:color="auto"/>
        <w:bottom w:val="none" w:sz="0" w:space="0" w:color="auto"/>
        <w:right w:val="none" w:sz="0" w:space="0" w:color="auto"/>
      </w:divBdr>
    </w:div>
    <w:div w:id="2139645239">
      <w:bodyDiv w:val="1"/>
      <w:marLeft w:val="0"/>
      <w:marRight w:val="0"/>
      <w:marTop w:val="0"/>
      <w:marBottom w:val="0"/>
      <w:divBdr>
        <w:top w:val="none" w:sz="0" w:space="0" w:color="auto"/>
        <w:left w:val="none" w:sz="0" w:space="0" w:color="auto"/>
        <w:bottom w:val="none" w:sz="0" w:space="0" w:color="auto"/>
        <w:right w:val="none" w:sz="0" w:space="0" w:color="auto"/>
      </w:divBdr>
    </w:div>
    <w:div w:id="214056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nja.ilenic@zag.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C3C7FD22-7982-4165-9049-EDCAEC2B5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37166</Words>
  <Characters>211848</Characters>
  <Application>Microsoft Office Word</Application>
  <DocSecurity>0</DocSecurity>
  <Lines>1765</Lines>
  <Paragraphs>497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248517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 Ilenič</dc:creator>
  <cp:lastModifiedBy>Deeksha Kad</cp:lastModifiedBy>
  <cp:revision>6</cp:revision>
  <cp:lastPrinted>2026-01-14T15:42:00Z</cp:lastPrinted>
  <dcterms:created xsi:type="dcterms:W3CDTF">2026-03-18T05:08:00Z</dcterms:created>
  <dcterms:modified xsi:type="dcterms:W3CDTF">2026-03-24T11:40:00Z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e9031d4d-1888-3532-a544-c0dc66b012fb</vt:lpwstr>
  </property>
  <property fmtid="{D5CDD505-2E9C-101B-9397-08002B2CF9AE}" pid="4" name="ZOTERO_PREF_1">
    <vt:lpwstr>&lt;data data-version="3" zotero-version="7.0.27"&gt;&lt;session id="HbwwkMxO"/&gt;&lt;style id="http://www.zotero.org/styles/nlm-citation-sequence" locale="en-US" hasBibliography="1" bibliographyStyleHasBeenSet="1"/&gt;&lt;prefs&gt;&lt;pref name="fieldType" value="Field"/&gt;&lt;pref na</vt:lpwstr>
  </property>
  <property fmtid="{D5CDD505-2E9C-101B-9397-08002B2CF9AE}" pid="5" name="ZOTERO_PREF_2">
    <vt:lpwstr>me="dontAskDelayCitationUpdates" value="true"/&gt;&lt;/prefs&gt;&lt;/data&gt;</vt:lpwstr>
  </property>
</Properties>
</file>