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E54AB" w14:textId="77777777" w:rsidR="00654E8F" w:rsidRPr="001549D3" w:rsidRDefault="00654E8F" w:rsidP="0001436A">
      <w:pPr>
        <w:pStyle w:val="SupplementaryMaterial"/>
        <w:rPr>
          <w:b w:val="0"/>
        </w:rPr>
      </w:pPr>
      <w:r w:rsidRPr="001549D3">
        <w:t>Supplementary Material</w:t>
      </w:r>
    </w:p>
    <w:p w14:paraId="5E584EE8" w14:textId="5F27C742" w:rsidR="00994A3D" w:rsidRDefault="00654E8F" w:rsidP="0001436A">
      <w:pPr>
        <w:pStyle w:val="Heading1"/>
      </w:pPr>
      <w:r w:rsidRPr="00994A3D">
        <w:t>Supplementary Tables</w:t>
      </w:r>
    </w:p>
    <w:p w14:paraId="1A299EF0" w14:textId="77777777" w:rsidR="00375001" w:rsidRDefault="00375001" w:rsidP="00375001">
      <w:pPr>
        <w:pStyle w:val="Caption"/>
        <w:spacing w:after="0"/>
      </w:pPr>
    </w:p>
    <w:p w14:paraId="5BFE5472" w14:textId="77777777" w:rsidR="00375001" w:rsidRDefault="00375001" w:rsidP="00375001">
      <w:pPr>
        <w:pStyle w:val="Caption"/>
        <w:spacing w:after="0"/>
      </w:pPr>
    </w:p>
    <w:p w14:paraId="2A33A386" w14:textId="46FA7A72" w:rsidR="00375001" w:rsidRPr="00375001" w:rsidRDefault="00375001" w:rsidP="00375001">
      <w:pPr>
        <w:pStyle w:val="Caption"/>
        <w:spacing w:after="0"/>
      </w:pPr>
      <w:r w:rsidRPr="00920FDA">
        <w:t xml:space="preserve">Table S1 </w:t>
      </w:r>
      <w:r w:rsidRPr="00375001">
        <w:rPr>
          <w:b w:val="0"/>
          <w:bCs w:val="0"/>
        </w:rPr>
        <w:t>Our Recommended CFD Validation Protocol for GBM-on-chip Platforms.</w:t>
      </w:r>
    </w:p>
    <w:tbl>
      <w:tblPr>
        <w:tblStyle w:val="TableGrid"/>
        <w:tblpPr w:leftFromText="180" w:rightFromText="180" w:vertAnchor="text" w:horzAnchor="page" w:tblpX="235" w:tblpY="171"/>
        <w:tblW w:w="110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620"/>
        <w:gridCol w:w="2072"/>
        <w:gridCol w:w="3962"/>
        <w:gridCol w:w="1455"/>
      </w:tblGrid>
      <w:tr w:rsidR="00375001" w:rsidRPr="00920FDA" w14:paraId="41BFAE6E" w14:textId="77777777" w:rsidTr="0011083C">
        <w:tc>
          <w:tcPr>
            <w:tcW w:w="1985" w:type="dxa"/>
            <w:tcBorders>
              <w:bottom w:val="double" w:sz="4" w:space="0" w:color="auto"/>
            </w:tcBorders>
            <w:vAlign w:val="center"/>
          </w:tcPr>
          <w:p w14:paraId="141414E2" w14:textId="77777777" w:rsidR="00375001" w:rsidRPr="00920FDA" w:rsidRDefault="00375001" w:rsidP="0011083C">
            <w:pPr>
              <w:jc w:val="center"/>
              <w:rPr>
                <w:b/>
                <w:bCs/>
                <w:sz w:val="20"/>
                <w:szCs w:val="20"/>
              </w:rPr>
            </w:pPr>
            <w:r w:rsidRPr="00920FDA">
              <w:rPr>
                <w:b/>
                <w:bCs/>
                <w:sz w:val="20"/>
                <w:szCs w:val="20"/>
              </w:rPr>
              <w:t>Validation Step</w:t>
            </w:r>
          </w:p>
        </w:tc>
        <w:tc>
          <w:tcPr>
            <w:tcW w:w="1620" w:type="dxa"/>
            <w:tcBorders>
              <w:bottom w:val="double" w:sz="4" w:space="0" w:color="auto"/>
            </w:tcBorders>
            <w:vAlign w:val="center"/>
          </w:tcPr>
          <w:p w14:paraId="6171D6C6" w14:textId="77777777" w:rsidR="00375001" w:rsidRPr="00920FDA" w:rsidRDefault="00375001" w:rsidP="0011083C">
            <w:pPr>
              <w:jc w:val="center"/>
              <w:rPr>
                <w:b/>
                <w:bCs/>
                <w:sz w:val="20"/>
                <w:szCs w:val="20"/>
              </w:rPr>
            </w:pPr>
            <w:r w:rsidRPr="00920FDA">
              <w:rPr>
                <w:b/>
                <w:bCs/>
                <w:sz w:val="20"/>
                <w:szCs w:val="20"/>
              </w:rPr>
              <w:t>Type</w:t>
            </w:r>
          </w:p>
        </w:tc>
        <w:tc>
          <w:tcPr>
            <w:tcW w:w="2072" w:type="dxa"/>
            <w:tcBorders>
              <w:bottom w:val="double" w:sz="4" w:space="0" w:color="auto"/>
            </w:tcBorders>
            <w:vAlign w:val="center"/>
          </w:tcPr>
          <w:p w14:paraId="67495E5E" w14:textId="77777777" w:rsidR="00375001" w:rsidRPr="00920FDA" w:rsidRDefault="00375001" w:rsidP="0011083C">
            <w:pPr>
              <w:jc w:val="center"/>
              <w:rPr>
                <w:b/>
                <w:bCs/>
                <w:sz w:val="20"/>
                <w:szCs w:val="20"/>
              </w:rPr>
            </w:pPr>
            <w:r w:rsidRPr="00920FDA">
              <w:rPr>
                <w:b/>
                <w:bCs/>
                <w:sz w:val="20"/>
                <w:szCs w:val="20"/>
              </w:rPr>
              <w:t>Purpose</w:t>
            </w:r>
          </w:p>
        </w:tc>
        <w:tc>
          <w:tcPr>
            <w:tcW w:w="3962" w:type="dxa"/>
            <w:tcBorders>
              <w:bottom w:val="double" w:sz="4" w:space="0" w:color="auto"/>
            </w:tcBorders>
            <w:vAlign w:val="center"/>
          </w:tcPr>
          <w:p w14:paraId="04B62055" w14:textId="77777777" w:rsidR="00375001" w:rsidRPr="00920FDA" w:rsidRDefault="00375001" w:rsidP="0011083C">
            <w:pPr>
              <w:jc w:val="center"/>
              <w:rPr>
                <w:b/>
                <w:bCs/>
                <w:sz w:val="20"/>
                <w:szCs w:val="20"/>
              </w:rPr>
            </w:pPr>
            <w:r w:rsidRPr="00920FDA">
              <w:rPr>
                <w:b/>
                <w:bCs/>
                <w:sz w:val="20"/>
                <w:szCs w:val="20"/>
              </w:rPr>
              <w:t xml:space="preserve">Method </w:t>
            </w:r>
          </w:p>
        </w:tc>
        <w:tc>
          <w:tcPr>
            <w:tcW w:w="1455" w:type="dxa"/>
            <w:tcBorders>
              <w:bottom w:val="double" w:sz="4" w:space="0" w:color="auto"/>
            </w:tcBorders>
            <w:vAlign w:val="center"/>
          </w:tcPr>
          <w:p w14:paraId="5A030ABC" w14:textId="77777777" w:rsidR="00375001" w:rsidRPr="00920FDA" w:rsidRDefault="00375001" w:rsidP="0011083C">
            <w:pPr>
              <w:jc w:val="center"/>
              <w:rPr>
                <w:b/>
                <w:bCs/>
                <w:sz w:val="20"/>
                <w:szCs w:val="20"/>
              </w:rPr>
            </w:pPr>
            <w:r w:rsidRPr="00920FDA">
              <w:rPr>
                <w:b/>
                <w:bCs/>
                <w:sz w:val="20"/>
                <w:szCs w:val="20"/>
              </w:rPr>
              <w:t>Key References</w:t>
            </w:r>
          </w:p>
        </w:tc>
      </w:tr>
      <w:tr w:rsidR="00375001" w:rsidRPr="00E51FDA" w14:paraId="747140EA" w14:textId="77777777" w:rsidTr="0011083C">
        <w:tc>
          <w:tcPr>
            <w:tcW w:w="1985" w:type="dxa"/>
            <w:tcBorders>
              <w:top w:val="double" w:sz="4" w:space="0" w:color="auto"/>
              <w:bottom w:val="single" w:sz="4" w:space="0" w:color="auto"/>
            </w:tcBorders>
            <w:vAlign w:val="center"/>
          </w:tcPr>
          <w:p w14:paraId="71938D85" w14:textId="77777777" w:rsidR="00375001" w:rsidRPr="00920FDA" w:rsidRDefault="00375001" w:rsidP="0011083C">
            <w:pPr>
              <w:jc w:val="center"/>
              <w:rPr>
                <w:b/>
                <w:bCs/>
                <w:sz w:val="20"/>
                <w:szCs w:val="20"/>
              </w:rPr>
            </w:pPr>
            <w:r w:rsidRPr="00920FDA">
              <w:rPr>
                <w:b/>
                <w:bCs/>
                <w:sz w:val="20"/>
                <w:szCs w:val="20"/>
              </w:rPr>
              <w:t>Mesh Convergence</w:t>
            </w:r>
            <w:r w:rsidRPr="00920FDA">
              <w:rPr>
                <w:b/>
                <w:bCs/>
                <w:sz w:val="20"/>
                <w:szCs w:val="20"/>
              </w:rPr>
              <w:br/>
              <w:t>(Grid Independence)</w:t>
            </w:r>
          </w:p>
        </w:tc>
        <w:tc>
          <w:tcPr>
            <w:tcW w:w="1620" w:type="dxa"/>
            <w:tcBorders>
              <w:top w:val="double" w:sz="4" w:space="0" w:color="auto"/>
              <w:bottom w:val="single" w:sz="4" w:space="0" w:color="auto"/>
            </w:tcBorders>
            <w:vAlign w:val="center"/>
          </w:tcPr>
          <w:p w14:paraId="44A9262C" w14:textId="77777777" w:rsidR="00375001" w:rsidRPr="00920FDA" w:rsidRDefault="00375001" w:rsidP="0011083C">
            <w:pPr>
              <w:jc w:val="center"/>
              <w:rPr>
                <w:sz w:val="20"/>
                <w:szCs w:val="20"/>
              </w:rPr>
            </w:pPr>
            <w:r w:rsidRPr="00920FDA">
              <w:rPr>
                <w:sz w:val="20"/>
                <w:szCs w:val="20"/>
              </w:rPr>
              <w:t>Computational</w:t>
            </w:r>
          </w:p>
        </w:tc>
        <w:tc>
          <w:tcPr>
            <w:tcW w:w="2072" w:type="dxa"/>
            <w:tcBorders>
              <w:top w:val="double" w:sz="4" w:space="0" w:color="auto"/>
              <w:bottom w:val="single" w:sz="4" w:space="0" w:color="auto"/>
            </w:tcBorders>
            <w:vAlign w:val="center"/>
          </w:tcPr>
          <w:p w14:paraId="282A2D65" w14:textId="77777777" w:rsidR="00375001" w:rsidRPr="00920FDA" w:rsidRDefault="00375001" w:rsidP="0011083C">
            <w:pPr>
              <w:jc w:val="center"/>
              <w:rPr>
                <w:sz w:val="20"/>
                <w:szCs w:val="20"/>
              </w:rPr>
            </w:pPr>
            <w:r w:rsidRPr="00920FDA">
              <w:rPr>
                <w:sz w:val="20"/>
                <w:szCs w:val="20"/>
              </w:rPr>
              <w:t xml:space="preserve">Ensure numerical solution is independent of mesh resolution (reduce </w:t>
            </w:r>
            <w:proofErr w:type="spellStart"/>
            <w:r w:rsidRPr="00920FDA">
              <w:rPr>
                <w:sz w:val="20"/>
                <w:szCs w:val="20"/>
              </w:rPr>
              <w:t>discret</w:t>
            </w:r>
            <w:r>
              <w:rPr>
                <w:sz w:val="20"/>
                <w:szCs w:val="20"/>
              </w:rPr>
              <w:t>isa</w:t>
            </w:r>
            <w:r w:rsidRPr="00920FDA">
              <w:rPr>
                <w:sz w:val="20"/>
                <w:szCs w:val="20"/>
              </w:rPr>
              <w:t>tion</w:t>
            </w:r>
            <w:proofErr w:type="spellEnd"/>
            <w:r w:rsidRPr="00920FDA">
              <w:rPr>
                <w:sz w:val="20"/>
                <w:szCs w:val="20"/>
              </w:rPr>
              <w:t xml:space="preserve"> error)</w:t>
            </w:r>
          </w:p>
        </w:tc>
        <w:tc>
          <w:tcPr>
            <w:tcW w:w="3962" w:type="dxa"/>
            <w:tcBorders>
              <w:top w:val="double" w:sz="4" w:space="0" w:color="auto"/>
              <w:bottom w:val="single" w:sz="4" w:space="0" w:color="auto"/>
            </w:tcBorders>
            <w:vAlign w:val="center"/>
          </w:tcPr>
          <w:p w14:paraId="751C3323" w14:textId="77777777" w:rsidR="00375001" w:rsidRPr="00920FDA" w:rsidRDefault="00375001" w:rsidP="0011083C">
            <w:pPr>
              <w:jc w:val="center"/>
              <w:rPr>
                <w:sz w:val="20"/>
                <w:szCs w:val="20"/>
              </w:rPr>
            </w:pPr>
            <w:r w:rsidRPr="00920FDA">
              <w:rPr>
                <w:sz w:val="20"/>
                <w:szCs w:val="20"/>
              </w:rPr>
              <w:t>Run simulations with successively finer meshes; monitor key outputs (e.g. flow rate, pressure, concentration). Continue refining until changes are below a set threshold. Optionally calculate Grid Convergence Index (GCI) to quantify uncertainty</w:t>
            </w:r>
          </w:p>
        </w:tc>
        <w:tc>
          <w:tcPr>
            <w:tcW w:w="1455" w:type="dxa"/>
            <w:tcBorders>
              <w:top w:val="double" w:sz="4" w:space="0" w:color="auto"/>
              <w:bottom w:val="single" w:sz="4" w:space="0" w:color="auto"/>
            </w:tcBorders>
            <w:vAlign w:val="center"/>
          </w:tcPr>
          <w:p w14:paraId="55E2AF70" w14:textId="16A03C66" w:rsidR="00375001" w:rsidRPr="0069328B" w:rsidRDefault="00375001" w:rsidP="0011083C">
            <w:pPr>
              <w:jc w:val="center"/>
              <w:rPr>
                <w:color w:val="7F7F7F" w:themeColor="text1" w:themeTint="80"/>
                <w:sz w:val="16"/>
                <w:szCs w:val="16"/>
              </w:rPr>
            </w:pPr>
            <w:r w:rsidRPr="0069328B">
              <w:rPr>
                <w:rFonts w:ascii="Calibri" w:hAnsi="Calibri" w:cs="Calibri"/>
                <w:sz w:val="16"/>
                <w:szCs w:val="16"/>
              </w:rPr>
              <w:t xml:space="preserve">ASME V&amp;V 20 guidance on mesh refinement, and </w:t>
            </w:r>
            <w:r w:rsidRPr="0069328B">
              <w:rPr>
                <w:sz w:val="16"/>
                <w:szCs w:val="16"/>
              </w:rPr>
              <w:t>CFD</w:t>
            </w:r>
            <w:r w:rsidRPr="0069328B">
              <w:rPr>
                <w:rFonts w:ascii="Calibri" w:hAnsi="Calibri" w:cs="Calibri"/>
                <w:sz w:val="16"/>
                <w:szCs w:val="16"/>
              </w:rPr>
              <w:t xml:space="preserve"> best practices </w:t>
            </w:r>
            <w:sdt>
              <w:sdtPr>
                <w:rPr>
                  <w:rFonts w:ascii="Calibri" w:hAnsi="Calibri" w:cs="Calibri"/>
                  <w:color w:val="000000"/>
                  <w:sz w:val="16"/>
                  <w:szCs w:val="16"/>
                </w:rPr>
                <w:tag w:val="MENDELEY_CITATION_v3_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"/>
                <w:id w:val="-403380575"/>
                <w:placeholder>
                  <w:docPart w:val="62917C860493467A95D60E4199186801"/>
                </w:placeholder>
              </w:sdtPr>
              <w:sdtContent>
                <w:r w:rsidRPr="00375001">
                  <w:rPr>
                    <w:rFonts w:ascii="Calibri" w:hAnsi="Calibri" w:cs="Calibri"/>
                    <w:color w:val="000000"/>
                    <w:sz w:val="16"/>
                    <w:szCs w:val="16"/>
                  </w:rPr>
                  <w:t>(ASME, 2009; Richard G. Hills et al., 2015)</w:t>
                </w:r>
              </w:sdtContent>
            </w:sdt>
            <w:r w:rsidRPr="0069328B">
              <w:rPr>
                <w:rFonts w:ascii="Calibri" w:hAnsi="Calibri" w:cs="Calibri"/>
                <w:color w:val="7F7F7F" w:themeColor="text1" w:themeTint="80"/>
                <w:sz w:val="16"/>
                <w:szCs w:val="16"/>
              </w:rPr>
              <w:t xml:space="preserve"> </w:t>
            </w:r>
          </w:p>
        </w:tc>
      </w:tr>
      <w:tr w:rsidR="00375001" w:rsidRPr="00E51FDA" w14:paraId="0B189885" w14:textId="77777777" w:rsidTr="0011083C">
        <w:tc>
          <w:tcPr>
            <w:tcW w:w="1985" w:type="dxa"/>
            <w:tcBorders>
              <w:top w:val="single" w:sz="4" w:space="0" w:color="auto"/>
              <w:bottom w:val="single" w:sz="4" w:space="0" w:color="auto"/>
            </w:tcBorders>
            <w:vAlign w:val="center"/>
          </w:tcPr>
          <w:p w14:paraId="37D43A0F" w14:textId="77777777" w:rsidR="00375001" w:rsidRPr="00920FDA" w:rsidRDefault="00375001" w:rsidP="0011083C">
            <w:pPr>
              <w:tabs>
                <w:tab w:val="left" w:pos="1275"/>
              </w:tabs>
              <w:jc w:val="center"/>
              <w:rPr>
                <w:b/>
                <w:bCs/>
                <w:sz w:val="20"/>
                <w:szCs w:val="20"/>
              </w:rPr>
            </w:pPr>
            <w:r w:rsidRPr="00920FDA">
              <w:rPr>
                <w:b/>
                <w:bCs/>
                <w:sz w:val="20"/>
                <w:szCs w:val="20"/>
              </w:rPr>
              <w:t>Time-Step Independence (for unsteady simulations)</w:t>
            </w:r>
          </w:p>
        </w:tc>
        <w:tc>
          <w:tcPr>
            <w:tcW w:w="1620" w:type="dxa"/>
            <w:tcBorders>
              <w:top w:val="single" w:sz="4" w:space="0" w:color="auto"/>
              <w:bottom w:val="single" w:sz="4" w:space="0" w:color="auto"/>
            </w:tcBorders>
            <w:vAlign w:val="center"/>
          </w:tcPr>
          <w:p w14:paraId="63C41E66" w14:textId="77777777" w:rsidR="00375001" w:rsidRPr="00920FDA" w:rsidRDefault="00375001" w:rsidP="0011083C">
            <w:pPr>
              <w:jc w:val="center"/>
              <w:rPr>
                <w:sz w:val="20"/>
                <w:szCs w:val="20"/>
              </w:rPr>
            </w:pPr>
            <w:r w:rsidRPr="00920FDA">
              <w:rPr>
                <w:sz w:val="20"/>
                <w:szCs w:val="20"/>
              </w:rPr>
              <w:t>Computational</w:t>
            </w:r>
          </w:p>
        </w:tc>
        <w:tc>
          <w:tcPr>
            <w:tcW w:w="2072" w:type="dxa"/>
            <w:tcBorders>
              <w:top w:val="single" w:sz="4" w:space="0" w:color="auto"/>
              <w:bottom w:val="single" w:sz="4" w:space="0" w:color="auto"/>
            </w:tcBorders>
            <w:vAlign w:val="center"/>
          </w:tcPr>
          <w:p w14:paraId="75CF1DCC" w14:textId="77777777" w:rsidR="00375001" w:rsidRPr="00920FDA" w:rsidRDefault="00375001" w:rsidP="0011083C">
            <w:pPr>
              <w:jc w:val="center"/>
              <w:rPr>
                <w:sz w:val="20"/>
                <w:szCs w:val="20"/>
              </w:rPr>
            </w:pPr>
            <w:r w:rsidRPr="00920FDA">
              <w:rPr>
                <w:sz w:val="20"/>
                <w:szCs w:val="20"/>
              </w:rPr>
              <w:t xml:space="preserve">Ensure transient solutions are independent of time-step </w:t>
            </w:r>
            <w:proofErr w:type="spellStart"/>
            <w:r w:rsidRPr="00920FDA">
              <w:rPr>
                <w:sz w:val="20"/>
                <w:szCs w:val="20"/>
              </w:rPr>
              <w:t>s</w:t>
            </w:r>
            <w:r>
              <w:rPr>
                <w:sz w:val="20"/>
                <w:szCs w:val="20"/>
              </w:rPr>
              <w:t>ise</w:t>
            </w:r>
            <w:proofErr w:type="spellEnd"/>
            <w:r w:rsidRPr="00920FDA">
              <w:rPr>
                <w:sz w:val="20"/>
                <w:szCs w:val="20"/>
              </w:rPr>
              <w:t xml:space="preserve"> (no integration error)</w:t>
            </w:r>
          </w:p>
        </w:tc>
        <w:tc>
          <w:tcPr>
            <w:tcW w:w="3962" w:type="dxa"/>
            <w:tcBorders>
              <w:top w:val="single" w:sz="4" w:space="0" w:color="auto"/>
              <w:bottom w:val="single" w:sz="4" w:space="0" w:color="auto"/>
            </w:tcBorders>
            <w:vAlign w:val="center"/>
          </w:tcPr>
          <w:p w14:paraId="25B706C9" w14:textId="77777777" w:rsidR="00375001" w:rsidRPr="00920FDA" w:rsidRDefault="00375001" w:rsidP="0011083C">
            <w:pPr>
              <w:jc w:val="center"/>
              <w:rPr>
                <w:sz w:val="20"/>
                <w:szCs w:val="20"/>
              </w:rPr>
            </w:pPr>
            <w:r w:rsidRPr="00920FDA">
              <w:rPr>
                <w:sz w:val="20"/>
                <w:szCs w:val="20"/>
              </w:rPr>
              <w:t>Decrease the time-step in transient CFD simulations and compare results (e.g. peak concentrations, oscillation amplitude). Choose a time-step that yields negligible change in results relative to a smaller step.</w:t>
            </w:r>
          </w:p>
        </w:tc>
        <w:tc>
          <w:tcPr>
            <w:tcW w:w="1455" w:type="dxa"/>
            <w:tcBorders>
              <w:top w:val="single" w:sz="4" w:space="0" w:color="auto"/>
              <w:bottom w:val="single" w:sz="4" w:space="0" w:color="auto"/>
            </w:tcBorders>
            <w:vAlign w:val="center"/>
          </w:tcPr>
          <w:p w14:paraId="798C013E" w14:textId="6D1141A0" w:rsidR="00375001" w:rsidRPr="0069328B" w:rsidRDefault="00375001" w:rsidP="0011083C">
            <w:pPr>
              <w:jc w:val="center"/>
              <w:rPr>
                <w:color w:val="7F7F7F" w:themeColor="text1" w:themeTint="80"/>
                <w:sz w:val="16"/>
                <w:szCs w:val="16"/>
              </w:rPr>
            </w:pPr>
            <w:r w:rsidRPr="0069328B">
              <w:rPr>
                <w:sz w:val="16"/>
                <w:szCs w:val="16"/>
              </w:rPr>
              <w:t xml:space="preserve">ASME V&amp;V 20 transient V&amp;V </w:t>
            </w:r>
            <w:sdt>
              <w:sdtPr>
                <w:rPr>
                  <w:color w:val="000000"/>
                  <w:sz w:val="16"/>
                  <w:szCs w:val="16"/>
                </w:rPr>
                <w:tag w:val="MENDELEY_CITATION_v3_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"/>
                <w:id w:val="-90624131"/>
                <w:placeholder>
                  <w:docPart w:val="62917C860493467A95D60E4199186801"/>
                </w:placeholder>
              </w:sdtPr>
              <w:sdtContent>
                <w:r w:rsidRPr="00375001">
                  <w:rPr>
                    <w:color w:val="000000"/>
                    <w:sz w:val="16"/>
                    <w:szCs w:val="16"/>
                  </w:rPr>
                  <w:t>(ASME, 2009)</w:t>
                </w:r>
              </w:sdtContent>
            </w:sdt>
          </w:p>
        </w:tc>
      </w:tr>
      <w:tr w:rsidR="00375001" w:rsidRPr="00E51FDA" w14:paraId="0BB02A0F" w14:textId="77777777" w:rsidTr="0011083C">
        <w:tc>
          <w:tcPr>
            <w:tcW w:w="1985" w:type="dxa"/>
            <w:tcBorders>
              <w:top w:val="single" w:sz="4" w:space="0" w:color="auto"/>
              <w:bottom w:val="single" w:sz="4" w:space="0" w:color="auto"/>
            </w:tcBorders>
            <w:vAlign w:val="center"/>
          </w:tcPr>
          <w:p w14:paraId="499FD67F" w14:textId="77777777" w:rsidR="00375001" w:rsidRPr="00920FDA" w:rsidRDefault="00375001" w:rsidP="0011083C">
            <w:pPr>
              <w:jc w:val="center"/>
              <w:rPr>
                <w:b/>
                <w:bCs/>
                <w:sz w:val="20"/>
                <w:szCs w:val="20"/>
              </w:rPr>
            </w:pPr>
            <w:r w:rsidRPr="00920FDA">
              <w:rPr>
                <w:b/>
                <w:bCs/>
                <w:sz w:val="20"/>
                <w:szCs w:val="20"/>
              </w:rPr>
              <w:t>Code Verification</w:t>
            </w:r>
          </w:p>
        </w:tc>
        <w:tc>
          <w:tcPr>
            <w:tcW w:w="1620" w:type="dxa"/>
            <w:tcBorders>
              <w:top w:val="single" w:sz="4" w:space="0" w:color="auto"/>
              <w:bottom w:val="single" w:sz="4" w:space="0" w:color="auto"/>
            </w:tcBorders>
            <w:vAlign w:val="center"/>
          </w:tcPr>
          <w:p w14:paraId="13F4981C" w14:textId="77777777" w:rsidR="00375001" w:rsidRPr="00920FDA" w:rsidRDefault="00375001" w:rsidP="0011083C">
            <w:pPr>
              <w:jc w:val="center"/>
              <w:rPr>
                <w:sz w:val="20"/>
                <w:szCs w:val="20"/>
              </w:rPr>
            </w:pPr>
            <w:r w:rsidRPr="00920FDA">
              <w:rPr>
                <w:sz w:val="20"/>
                <w:szCs w:val="20"/>
              </w:rPr>
              <w:t>Computational</w:t>
            </w:r>
          </w:p>
        </w:tc>
        <w:tc>
          <w:tcPr>
            <w:tcW w:w="2072" w:type="dxa"/>
            <w:tcBorders>
              <w:top w:val="single" w:sz="4" w:space="0" w:color="auto"/>
              <w:bottom w:val="single" w:sz="4" w:space="0" w:color="auto"/>
            </w:tcBorders>
            <w:vAlign w:val="center"/>
          </w:tcPr>
          <w:p w14:paraId="297C3913" w14:textId="77777777" w:rsidR="00375001" w:rsidRPr="00920FDA" w:rsidRDefault="00375001" w:rsidP="0011083C">
            <w:pPr>
              <w:jc w:val="center"/>
              <w:rPr>
                <w:sz w:val="20"/>
                <w:szCs w:val="20"/>
              </w:rPr>
            </w:pPr>
            <w:r w:rsidRPr="00920FDA">
              <w:rPr>
                <w:sz w:val="20"/>
                <w:szCs w:val="20"/>
              </w:rPr>
              <w:t>Verify that the simulation code solves governing equations correctly (no programming errors)</w:t>
            </w:r>
          </w:p>
        </w:tc>
        <w:tc>
          <w:tcPr>
            <w:tcW w:w="3962" w:type="dxa"/>
            <w:tcBorders>
              <w:top w:val="single" w:sz="4" w:space="0" w:color="auto"/>
              <w:bottom w:val="single" w:sz="4" w:space="0" w:color="auto"/>
            </w:tcBorders>
            <w:vAlign w:val="center"/>
          </w:tcPr>
          <w:p w14:paraId="1DA64BA5" w14:textId="63486769" w:rsidR="00375001" w:rsidRPr="00920FDA" w:rsidRDefault="00375001" w:rsidP="0011083C">
            <w:pPr>
              <w:jc w:val="center"/>
              <w:rPr>
                <w:sz w:val="20"/>
                <w:szCs w:val="20"/>
              </w:rPr>
            </w:pPr>
            <w:r w:rsidRPr="00920FDA">
              <w:rPr>
                <w:sz w:val="20"/>
                <w:szCs w:val="20"/>
              </w:rPr>
              <w:t xml:space="preserve">Test the CFD code against analytical solutions or benchmark cases. For example, compare simulated Poiseuille flow in a simple channel to analytical velocity profile; check mass conservation in a closed-loop simulation. Use published benchmark data </w:t>
            </w:r>
            <w:r>
              <w:rPr>
                <w:sz w:val="20"/>
                <w:szCs w:val="20"/>
              </w:rPr>
              <w:t xml:space="preserve">such as </w:t>
            </w:r>
            <w:sdt>
              <w:sdtPr>
                <w:rPr>
                  <w:color w:val="000000"/>
                  <w:sz w:val="20"/>
                  <w:szCs w:val="20"/>
                </w:rPr>
                <w:tag w:val="MENDELEY_CITATION_v3_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"/>
                <w:id w:val="-1626693044"/>
                <w:placeholder>
                  <w:docPart w:val="62917C860493467A95D60E4199186801"/>
                </w:placeholder>
              </w:sdtPr>
              <w:sdtContent>
                <w:r w:rsidRPr="00375001">
                  <w:rPr>
                    <w:color w:val="000000"/>
                    <w:sz w:val="20"/>
                    <w:szCs w:val="20"/>
                  </w:rPr>
                  <w:t>(Hariharan et al., 2017)</w:t>
                </w:r>
              </w:sdtContent>
            </w:sdt>
            <w:r>
              <w:rPr>
                <w:sz w:val="20"/>
                <w:szCs w:val="20"/>
              </w:rPr>
              <w:t xml:space="preserve"> </w:t>
            </w:r>
            <w:r w:rsidRPr="00920FDA">
              <w:rPr>
                <w:sz w:val="20"/>
                <w:szCs w:val="20"/>
              </w:rPr>
              <w:t>for verification</w:t>
            </w:r>
          </w:p>
        </w:tc>
        <w:tc>
          <w:tcPr>
            <w:tcW w:w="1455" w:type="dxa"/>
            <w:tcBorders>
              <w:top w:val="single" w:sz="4" w:space="0" w:color="auto"/>
              <w:bottom w:val="single" w:sz="4" w:space="0" w:color="auto"/>
            </w:tcBorders>
            <w:vAlign w:val="center"/>
          </w:tcPr>
          <w:p w14:paraId="0FB0C632" w14:textId="0B521360" w:rsidR="00375001" w:rsidRPr="0069328B" w:rsidRDefault="00375001" w:rsidP="0011083C">
            <w:pPr>
              <w:jc w:val="center"/>
              <w:rPr>
                <w:color w:val="7F7F7F" w:themeColor="text1" w:themeTint="80"/>
                <w:sz w:val="16"/>
                <w:szCs w:val="16"/>
              </w:rPr>
            </w:pPr>
            <w:r w:rsidRPr="0069328B">
              <w:rPr>
                <w:sz w:val="16"/>
                <w:szCs w:val="16"/>
              </w:rPr>
              <w:t xml:space="preserve">ASME V&amp;V 20-2009, CFD code verification </w:t>
            </w:r>
            <w:sdt>
              <w:sdtPr>
                <w:rPr>
                  <w:color w:val="000000"/>
                  <w:sz w:val="16"/>
                  <w:szCs w:val="16"/>
                </w:rPr>
                <w:tag w:val="MENDELEY_CITATION_v3_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"/>
                <w:id w:val="346601062"/>
                <w:placeholder>
                  <w:docPart w:val="62917C860493467A95D60E4199186801"/>
                </w:placeholder>
              </w:sdtPr>
              <w:sdtContent>
                <w:r w:rsidRPr="00375001">
                  <w:rPr>
                    <w:color w:val="000000"/>
                    <w:sz w:val="16"/>
                    <w:szCs w:val="16"/>
                  </w:rPr>
                  <w:t>(ASME, 2009)</w:t>
                </w:r>
              </w:sdtContent>
            </w:sdt>
            <w:r w:rsidRPr="0069328B">
              <w:rPr>
                <w:sz w:val="16"/>
                <w:szCs w:val="16"/>
              </w:rPr>
              <w:t xml:space="preserve">; FDA benchmark studies </w:t>
            </w:r>
            <w:sdt>
              <w:sdtPr>
                <w:rPr>
                  <w:color w:val="000000"/>
                  <w:sz w:val="16"/>
                  <w:szCs w:val="16"/>
                </w:rPr>
                <w:tag w:val="MENDELEY_CITATION_v3_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"/>
                <w:id w:val="-1910371921"/>
                <w:placeholder>
                  <w:docPart w:val="62917C860493467A95D60E4199186801"/>
                </w:placeholder>
              </w:sdtPr>
              <w:sdtContent>
                <w:r w:rsidRPr="00375001">
                  <w:rPr>
                    <w:color w:val="000000"/>
                    <w:sz w:val="16"/>
                    <w:szCs w:val="16"/>
                  </w:rPr>
                  <w:t>(FDA, 2016)</w:t>
                </w:r>
              </w:sdtContent>
            </w:sdt>
          </w:p>
        </w:tc>
      </w:tr>
      <w:tr w:rsidR="00375001" w:rsidRPr="00E51FDA" w14:paraId="13031FBE" w14:textId="77777777" w:rsidTr="0011083C">
        <w:tc>
          <w:tcPr>
            <w:tcW w:w="1985" w:type="dxa"/>
            <w:tcBorders>
              <w:top w:val="single" w:sz="4" w:space="0" w:color="auto"/>
              <w:bottom w:val="single" w:sz="4" w:space="0" w:color="auto"/>
            </w:tcBorders>
            <w:vAlign w:val="center"/>
          </w:tcPr>
          <w:p w14:paraId="004A3647" w14:textId="77777777" w:rsidR="00375001" w:rsidRPr="00920FDA" w:rsidRDefault="00375001" w:rsidP="0011083C">
            <w:pPr>
              <w:jc w:val="center"/>
              <w:rPr>
                <w:b/>
                <w:bCs/>
                <w:sz w:val="20"/>
                <w:szCs w:val="20"/>
              </w:rPr>
            </w:pPr>
            <w:r w:rsidRPr="00920FDA">
              <w:rPr>
                <w:b/>
                <w:bCs/>
                <w:sz w:val="20"/>
                <w:szCs w:val="20"/>
              </w:rPr>
              <w:t>Solver/Calculation Verification</w:t>
            </w:r>
          </w:p>
        </w:tc>
        <w:tc>
          <w:tcPr>
            <w:tcW w:w="1620" w:type="dxa"/>
            <w:tcBorders>
              <w:top w:val="single" w:sz="4" w:space="0" w:color="auto"/>
              <w:bottom w:val="single" w:sz="4" w:space="0" w:color="auto"/>
            </w:tcBorders>
            <w:vAlign w:val="center"/>
          </w:tcPr>
          <w:p w14:paraId="3A10F771" w14:textId="77777777" w:rsidR="00375001" w:rsidRPr="00920FDA" w:rsidRDefault="00375001" w:rsidP="0011083C">
            <w:pPr>
              <w:jc w:val="center"/>
              <w:rPr>
                <w:sz w:val="20"/>
                <w:szCs w:val="20"/>
              </w:rPr>
            </w:pPr>
            <w:r w:rsidRPr="00920FDA">
              <w:rPr>
                <w:sz w:val="20"/>
                <w:szCs w:val="20"/>
              </w:rPr>
              <w:t>Computational</w:t>
            </w:r>
          </w:p>
        </w:tc>
        <w:tc>
          <w:tcPr>
            <w:tcW w:w="2072" w:type="dxa"/>
            <w:tcBorders>
              <w:top w:val="single" w:sz="4" w:space="0" w:color="auto"/>
              <w:bottom w:val="single" w:sz="4" w:space="0" w:color="auto"/>
            </w:tcBorders>
            <w:vAlign w:val="center"/>
          </w:tcPr>
          <w:p w14:paraId="37F185FD" w14:textId="77777777" w:rsidR="00375001" w:rsidRPr="00920FDA" w:rsidRDefault="00375001" w:rsidP="0011083C">
            <w:pPr>
              <w:jc w:val="center"/>
              <w:rPr>
                <w:sz w:val="20"/>
                <w:szCs w:val="20"/>
              </w:rPr>
            </w:pPr>
            <w:r w:rsidRPr="00920FDA">
              <w:rPr>
                <w:sz w:val="20"/>
                <w:szCs w:val="20"/>
              </w:rPr>
              <w:t>Ensure the specific simulation setup is numerically accurate (solver settings, convergence)</w:t>
            </w:r>
          </w:p>
        </w:tc>
        <w:tc>
          <w:tcPr>
            <w:tcW w:w="3962" w:type="dxa"/>
            <w:tcBorders>
              <w:top w:val="single" w:sz="4" w:space="0" w:color="auto"/>
              <w:bottom w:val="single" w:sz="4" w:space="0" w:color="auto"/>
            </w:tcBorders>
            <w:vAlign w:val="center"/>
          </w:tcPr>
          <w:p w14:paraId="47AE1E44" w14:textId="77777777" w:rsidR="00375001" w:rsidRPr="00920FDA" w:rsidRDefault="00375001" w:rsidP="0011083C">
            <w:pPr>
              <w:jc w:val="center"/>
              <w:rPr>
                <w:sz w:val="20"/>
                <w:szCs w:val="20"/>
              </w:rPr>
            </w:pPr>
            <w:r w:rsidRPr="00920FDA">
              <w:rPr>
                <w:sz w:val="20"/>
                <w:szCs w:val="20"/>
              </w:rPr>
              <w:t xml:space="preserve">Check that residuals are </w:t>
            </w:r>
            <w:proofErr w:type="spellStart"/>
            <w:r w:rsidRPr="00920FDA">
              <w:rPr>
                <w:sz w:val="20"/>
                <w:szCs w:val="20"/>
              </w:rPr>
              <w:t>minimi</w:t>
            </w:r>
            <w:r>
              <w:rPr>
                <w:sz w:val="20"/>
                <w:szCs w:val="20"/>
              </w:rPr>
              <w:t>s</w:t>
            </w:r>
            <w:r w:rsidRPr="00920FDA">
              <w:rPr>
                <w:sz w:val="20"/>
                <w:szCs w:val="20"/>
              </w:rPr>
              <w:t>ed</w:t>
            </w:r>
            <w:proofErr w:type="spellEnd"/>
            <w:r w:rsidRPr="00920FDA">
              <w:rPr>
                <w:sz w:val="20"/>
                <w:szCs w:val="20"/>
              </w:rPr>
              <w:t xml:space="preserve">, and solution iterative convergence is achieved. Perform </w:t>
            </w:r>
            <w:proofErr w:type="spellStart"/>
            <w:r w:rsidRPr="00920FDA">
              <w:rPr>
                <w:sz w:val="20"/>
                <w:szCs w:val="20"/>
              </w:rPr>
              <w:t>local</w:t>
            </w:r>
            <w:r>
              <w:rPr>
                <w:sz w:val="20"/>
                <w:szCs w:val="20"/>
              </w:rPr>
              <w:t>ise</w:t>
            </w:r>
            <w:r w:rsidRPr="00920FDA">
              <w:rPr>
                <w:sz w:val="20"/>
                <w:szCs w:val="20"/>
              </w:rPr>
              <w:t>d</w:t>
            </w:r>
            <w:proofErr w:type="spellEnd"/>
            <w:r w:rsidRPr="00920FDA">
              <w:rPr>
                <w:sz w:val="20"/>
                <w:szCs w:val="20"/>
              </w:rPr>
              <w:t xml:space="preserve"> refinements or alternative solver schemes to see if results remain consistent. Confirm no significant numerical artifacts (e.g. oscillations) in results.</w:t>
            </w:r>
          </w:p>
        </w:tc>
        <w:tc>
          <w:tcPr>
            <w:tcW w:w="1455" w:type="dxa"/>
            <w:tcBorders>
              <w:top w:val="single" w:sz="4" w:space="0" w:color="auto"/>
              <w:bottom w:val="single" w:sz="4" w:space="0" w:color="auto"/>
            </w:tcBorders>
            <w:vAlign w:val="center"/>
          </w:tcPr>
          <w:p w14:paraId="7DCBEAFE" w14:textId="28627DF2" w:rsidR="00375001" w:rsidRPr="0069328B" w:rsidRDefault="00375001" w:rsidP="0011083C">
            <w:pPr>
              <w:jc w:val="center"/>
              <w:rPr>
                <w:color w:val="7F7F7F" w:themeColor="text1" w:themeTint="80"/>
                <w:sz w:val="16"/>
                <w:szCs w:val="16"/>
              </w:rPr>
            </w:pPr>
            <w:r w:rsidRPr="0069328B">
              <w:rPr>
                <w:sz w:val="16"/>
                <w:szCs w:val="16"/>
              </w:rPr>
              <w:t xml:space="preserve">ASME V&amp;V 20 standard </w:t>
            </w:r>
            <w:sdt>
              <w:sdtPr>
                <w:rPr>
                  <w:color w:val="000000"/>
                  <w:sz w:val="16"/>
                  <w:szCs w:val="16"/>
                  <w14:textFill>
                    <w14:solidFill>
                      <w14:srgbClr w14:val="000000">
                        <w14:lumMod w14:val="50000"/>
                        <w14:lumOff w14:val="50000"/>
                      </w14:srgbClr>
                    </w14:solidFill>
                  </w14:textFill>
                </w:rPr>
                <w:tag w:val="MENDELEY_CITATION_v3_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"/>
                <w:id w:val="659269742"/>
                <w:placeholder>
                  <w:docPart w:val="62917C860493467A95D60E4199186801"/>
                </w:placeholder>
              </w:sdtPr>
              <w:sdtContent>
                <w:r w:rsidRPr="00375001">
                  <w:rPr>
                    <w:color w:val="000000"/>
                    <w:sz w:val="16"/>
                    <w:szCs w:val="16"/>
                  </w:rPr>
                  <w:t>(ASME, 2009)</w:t>
                </w:r>
              </w:sdtContent>
            </w:sdt>
          </w:p>
        </w:tc>
      </w:tr>
      <w:tr w:rsidR="00375001" w:rsidRPr="00E51FDA" w14:paraId="65BCDBF1" w14:textId="77777777" w:rsidTr="0011083C">
        <w:tc>
          <w:tcPr>
            <w:tcW w:w="1985" w:type="dxa"/>
            <w:tcBorders>
              <w:top w:val="single" w:sz="4" w:space="0" w:color="auto"/>
              <w:bottom w:val="single" w:sz="4" w:space="0" w:color="auto"/>
            </w:tcBorders>
            <w:vAlign w:val="center"/>
          </w:tcPr>
          <w:p w14:paraId="79E56D19" w14:textId="77777777" w:rsidR="00375001" w:rsidRPr="00920FDA" w:rsidRDefault="00375001" w:rsidP="0011083C">
            <w:pPr>
              <w:jc w:val="center"/>
              <w:rPr>
                <w:b/>
                <w:bCs/>
                <w:sz w:val="20"/>
                <w:szCs w:val="20"/>
              </w:rPr>
            </w:pPr>
            <w:r w:rsidRPr="00920FDA">
              <w:rPr>
                <w:b/>
                <w:bCs/>
                <w:sz w:val="20"/>
                <w:szCs w:val="20"/>
              </w:rPr>
              <w:t>Sensitivity Analysis</w:t>
            </w:r>
          </w:p>
        </w:tc>
        <w:tc>
          <w:tcPr>
            <w:tcW w:w="1620" w:type="dxa"/>
            <w:tcBorders>
              <w:top w:val="single" w:sz="4" w:space="0" w:color="auto"/>
              <w:bottom w:val="single" w:sz="4" w:space="0" w:color="auto"/>
            </w:tcBorders>
            <w:vAlign w:val="center"/>
          </w:tcPr>
          <w:p w14:paraId="7197574F" w14:textId="77777777" w:rsidR="00375001" w:rsidRPr="00920FDA" w:rsidRDefault="00375001" w:rsidP="0011083C">
            <w:pPr>
              <w:jc w:val="center"/>
              <w:rPr>
                <w:sz w:val="20"/>
                <w:szCs w:val="20"/>
              </w:rPr>
            </w:pPr>
            <w:r w:rsidRPr="00920FDA">
              <w:rPr>
                <w:sz w:val="20"/>
                <w:szCs w:val="20"/>
              </w:rPr>
              <w:t>Computational</w:t>
            </w:r>
          </w:p>
        </w:tc>
        <w:tc>
          <w:tcPr>
            <w:tcW w:w="2072" w:type="dxa"/>
            <w:tcBorders>
              <w:top w:val="single" w:sz="4" w:space="0" w:color="auto"/>
              <w:bottom w:val="single" w:sz="4" w:space="0" w:color="auto"/>
            </w:tcBorders>
            <w:vAlign w:val="center"/>
          </w:tcPr>
          <w:p w14:paraId="55FD5C05" w14:textId="77777777" w:rsidR="00375001" w:rsidRPr="00920FDA" w:rsidRDefault="00375001" w:rsidP="0011083C">
            <w:pPr>
              <w:jc w:val="center"/>
              <w:rPr>
                <w:sz w:val="20"/>
                <w:szCs w:val="20"/>
              </w:rPr>
            </w:pPr>
            <w:r w:rsidRPr="00920FDA">
              <w:rPr>
                <w:sz w:val="20"/>
                <w:szCs w:val="20"/>
              </w:rPr>
              <w:t>Identify which input parameters most influence model outputs (robustness check)</w:t>
            </w:r>
          </w:p>
        </w:tc>
        <w:tc>
          <w:tcPr>
            <w:tcW w:w="3962" w:type="dxa"/>
            <w:tcBorders>
              <w:top w:val="single" w:sz="4" w:space="0" w:color="auto"/>
              <w:bottom w:val="single" w:sz="4" w:space="0" w:color="auto"/>
            </w:tcBorders>
            <w:vAlign w:val="center"/>
          </w:tcPr>
          <w:p w14:paraId="73C0226D" w14:textId="77777777" w:rsidR="00375001" w:rsidRPr="00920FDA" w:rsidRDefault="00375001" w:rsidP="0011083C">
            <w:pPr>
              <w:jc w:val="center"/>
              <w:rPr>
                <w:sz w:val="20"/>
                <w:szCs w:val="20"/>
              </w:rPr>
            </w:pPr>
            <w:r w:rsidRPr="00920FDA">
              <w:rPr>
                <w:sz w:val="20"/>
                <w:szCs w:val="20"/>
              </w:rPr>
              <w:t>Vary key inputs one-factor-at-a-time or via design of experiments (e.g. ±10–20% changes in viscosity, permeability, cell uptake rates). Observe changes in outputs (flow rate, gradients). Map sensitivities to determine which parameters require accurate measurement and which have minor effect</w:t>
            </w:r>
          </w:p>
        </w:tc>
        <w:tc>
          <w:tcPr>
            <w:tcW w:w="1455" w:type="dxa"/>
            <w:tcBorders>
              <w:top w:val="single" w:sz="4" w:space="0" w:color="auto"/>
              <w:bottom w:val="single" w:sz="4" w:space="0" w:color="auto"/>
            </w:tcBorders>
            <w:vAlign w:val="center"/>
          </w:tcPr>
          <w:p w14:paraId="2CF59E0B" w14:textId="05F29D62" w:rsidR="00375001" w:rsidRPr="0069328B" w:rsidRDefault="00375001" w:rsidP="0011083C">
            <w:pPr>
              <w:jc w:val="center"/>
              <w:rPr>
                <w:color w:val="7F7F7F" w:themeColor="text1" w:themeTint="80"/>
                <w:sz w:val="16"/>
                <w:szCs w:val="16"/>
              </w:rPr>
            </w:pPr>
            <w:r w:rsidRPr="0069328B">
              <w:rPr>
                <w:sz w:val="16"/>
                <w:szCs w:val="16"/>
              </w:rPr>
              <w:t xml:space="preserve">ASME V&amp;V 40 </w:t>
            </w:r>
            <w:proofErr w:type="spellStart"/>
            <w:r w:rsidRPr="0069328B">
              <w:rPr>
                <w:sz w:val="16"/>
                <w:szCs w:val="16"/>
              </w:rPr>
              <w:t>emphas</w:t>
            </w:r>
            <w:r>
              <w:rPr>
                <w:sz w:val="16"/>
                <w:szCs w:val="16"/>
              </w:rPr>
              <w:t>ise</w:t>
            </w:r>
            <w:r w:rsidRPr="0069328B">
              <w:rPr>
                <w:sz w:val="16"/>
                <w:szCs w:val="16"/>
              </w:rPr>
              <w:t>s</w:t>
            </w:r>
            <w:proofErr w:type="spellEnd"/>
            <w:r w:rsidRPr="0069328B">
              <w:rPr>
                <w:sz w:val="16"/>
                <w:szCs w:val="16"/>
              </w:rPr>
              <w:t xml:space="preserve"> sensitivity studies for risk assessment </w:t>
            </w:r>
            <w:sdt>
              <w:sdtPr>
                <w:rPr>
                  <w:color w:val="000000"/>
                  <w:sz w:val="16"/>
                  <w:szCs w:val="16"/>
                  <w14:textFill>
                    <w14:solidFill>
                      <w14:srgbClr w14:val="000000">
                        <w14:lumMod w14:val="50000"/>
                        <w14:lumOff w14:val="50000"/>
                      </w14:srgbClr>
                    </w14:solidFill>
                  </w14:textFill>
                </w:rPr>
                <w:tag w:val="MENDELEY_CITATION_v3_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"/>
                <w:id w:val="487905486"/>
                <w:placeholder>
                  <w:docPart w:val="62917C860493467A95D60E4199186801"/>
                </w:placeholder>
              </w:sdtPr>
              <w:sdtContent>
                <w:r w:rsidRPr="00375001">
                  <w:rPr>
                    <w:color w:val="000000"/>
                    <w:sz w:val="16"/>
                    <w:szCs w:val="16"/>
                  </w:rPr>
                  <w:t>(ASME, 2018)</w:t>
                </w:r>
              </w:sdtContent>
            </w:sdt>
            <w:r w:rsidRPr="0069328B">
              <w:rPr>
                <w:sz w:val="16"/>
                <w:szCs w:val="16"/>
              </w:rPr>
              <w:t xml:space="preserve">; FDA guidance on model risk informs depth of sensitivity needed </w:t>
            </w:r>
            <w:sdt>
              <w:sdtPr>
                <w:rPr>
                  <w:color w:val="000000"/>
                  <w:sz w:val="16"/>
                  <w:szCs w:val="16"/>
                  <w14:textFill>
                    <w14:solidFill>
                      <w14:srgbClr w14:val="000000">
                        <w14:lumMod w14:val="50000"/>
                        <w14:lumOff w14:val="50000"/>
                      </w14:srgbClr>
                    </w14:solidFill>
                  </w14:textFill>
                </w:rPr>
                <w:tag w:val="MENDELEY_CITATION_v3_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"/>
                <w:id w:val="438502533"/>
                <w:placeholder>
                  <w:docPart w:val="62917C860493467A95D60E4199186801"/>
                </w:placeholder>
              </w:sdtPr>
              <w:sdtContent>
                <w:r w:rsidRPr="00375001">
                  <w:rPr>
                    <w:color w:val="000000"/>
                    <w:sz w:val="16"/>
                    <w:szCs w:val="16"/>
                  </w:rPr>
                  <w:t>(FDA, 2023)</w:t>
                </w:r>
              </w:sdtContent>
            </w:sdt>
          </w:p>
        </w:tc>
      </w:tr>
      <w:tr w:rsidR="00375001" w:rsidRPr="00E51FDA" w14:paraId="0F7E45E9" w14:textId="77777777" w:rsidTr="0011083C">
        <w:tc>
          <w:tcPr>
            <w:tcW w:w="1985" w:type="dxa"/>
            <w:tcBorders>
              <w:top w:val="single" w:sz="4" w:space="0" w:color="auto"/>
              <w:bottom w:val="single" w:sz="4" w:space="0" w:color="auto"/>
            </w:tcBorders>
            <w:vAlign w:val="center"/>
          </w:tcPr>
          <w:p w14:paraId="194EA57D" w14:textId="77777777" w:rsidR="00375001" w:rsidRPr="00920FDA" w:rsidRDefault="00375001" w:rsidP="0011083C">
            <w:pPr>
              <w:jc w:val="center"/>
              <w:rPr>
                <w:b/>
                <w:bCs/>
                <w:sz w:val="20"/>
                <w:szCs w:val="20"/>
              </w:rPr>
            </w:pPr>
            <w:r w:rsidRPr="00920FDA">
              <w:rPr>
                <w:b/>
                <w:bCs/>
                <w:sz w:val="20"/>
                <w:szCs w:val="20"/>
              </w:rPr>
              <w:lastRenderedPageBreak/>
              <w:t>Uncertainty Quantification (UQ)</w:t>
            </w:r>
          </w:p>
        </w:tc>
        <w:tc>
          <w:tcPr>
            <w:tcW w:w="1620" w:type="dxa"/>
            <w:tcBorders>
              <w:top w:val="single" w:sz="4" w:space="0" w:color="auto"/>
              <w:bottom w:val="single" w:sz="4" w:space="0" w:color="auto"/>
            </w:tcBorders>
            <w:vAlign w:val="center"/>
          </w:tcPr>
          <w:p w14:paraId="792F6654" w14:textId="77777777" w:rsidR="00375001" w:rsidRPr="00920FDA" w:rsidRDefault="00375001" w:rsidP="0011083C">
            <w:pPr>
              <w:jc w:val="center"/>
              <w:rPr>
                <w:sz w:val="20"/>
                <w:szCs w:val="20"/>
              </w:rPr>
            </w:pPr>
            <w:r w:rsidRPr="00920FDA">
              <w:rPr>
                <w:sz w:val="20"/>
                <w:szCs w:val="20"/>
              </w:rPr>
              <w:t>Computational</w:t>
            </w:r>
          </w:p>
        </w:tc>
        <w:tc>
          <w:tcPr>
            <w:tcW w:w="2072" w:type="dxa"/>
            <w:tcBorders>
              <w:top w:val="single" w:sz="4" w:space="0" w:color="auto"/>
              <w:bottom w:val="single" w:sz="4" w:space="0" w:color="auto"/>
            </w:tcBorders>
            <w:vAlign w:val="center"/>
          </w:tcPr>
          <w:p w14:paraId="2A758E04" w14:textId="77777777" w:rsidR="00375001" w:rsidRPr="00920FDA" w:rsidRDefault="00375001" w:rsidP="0011083C">
            <w:pPr>
              <w:jc w:val="center"/>
              <w:rPr>
                <w:sz w:val="20"/>
                <w:szCs w:val="20"/>
              </w:rPr>
            </w:pPr>
            <w:r w:rsidRPr="00920FDA">
              <w:rPr>
                <w:sz w:val="20"/>
                <w:szCs w:val="20"/>
              </w:rPr>
              <w:t>Quantify the impact of input and model uncertainties on simulation predictions (provide confidence bounds)</w:t>
            </w:r>
          </w:p>
        </w:tc>
        <w:tc>
          <w:tcPr>
            <w:tcW w:w="3962" w:type="dxa"/>
            <w:tcBorders>
              <w:top w:val="single" w:sz="4" w:space="0" w:color="auto"/>
              <w:bottom w:val="single" w:sz="4" w:space="0" w:color="auto"/>
            </w:tcBorders>
            <w:vAlign w:val="center"/>
          </w:tcPr>
          <w:p w14:paraId="7AD5FFB3" w14:textId="77777777" w:rsidR="00375001" w:rsidRPr="00920FDA" w:rsidRDefault="00375001" w:rsidP="0011083C">
            <w:pPr>
              <w:jc w:val="center"/>
              <w:rPr>
                <w:sz w:val="20"/>
                <w:szCs w:val="20"/>
              </w:rPr>
            </w:pPr>
            <w:r w:rsidRPr="00920FDA">
              <w:rPr>
                <w:sz w:val="20"/>
                <w:szCs w:val="20"/>
              </w:rPr>
              <w:t xml:space="preserve">Define distributions or ranges for uncertain inputs (e.g. diffusion coefficient, inlet flow variability). Use Monte Carlo simulations or analytic uncertainty propagation to compute confidence intervals for outputs. For example, report that drug concentration at tumour core is X ± Y%. Document any biases. If uncertainties remain, record and note whether they likely make predictions conservative or non-conservative. </w:t>
            </w:r>
          </w:p>
        </w:tc>
        <w:tc>
          <w:tcPr>
            <w:tcW w:w="1455" w:type="dxa"/>
            <w:tcBorders>
              <w:top w:val="single" w:sz="4" w:space="0" w:color="auto"/>
              <w:bottom w:val="single" w:sz="4" w:space="0" w:color="auto"/>
            </w:tcBorders>
            <w:vAlign w:val="center"/>
          </w:tcPr>
          <w:p w14:paraId="7EBF6478" w14:textId="0FFD9B9A" w:rsidR="00375001" w:rsidRPr="0069328B" w:rsidRDefault="00375001" w:rsidP="0011083C">
            <w:pPr>
              <w:jc w:val="center"/>
              <w:rPr>
                <w:sz w:val="16"/>
                <w:szCs w:val="16"/>
              </w:rPr>
            </w:pPr>
            <w:r w:rsidRPr="0069328B">
              <w:rPr>
                <w:sz w:val="16"/>
                <w:szCs w:val="16"/>
              </w:rPr>
              <w:t xml:space="preserve">ASME V&amp;V 40 framework for risk-informed UQ </w:t>
            </w:r>
            <w:sdt>
              <w:sdtPr>
                <w:rPr>
                  <w:color w:val="000000"/>
                  <w:sz w:val="16"/>
                  <w:szCs w:val="16"/>
                </w:rPr>
                <w:tag w:val="MENDELEY_CITATION_v3_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"/>
                <w:id w:val="2129655074"/>
                <w:placeholder>
                  <w:docPart w:val="62917C860493467A95D60E4199186801"/>
                </w:placeholder>
              </w:sdtPr>
              <w:sdtContent>
                <w:r w:rsidRPr="00375001">
                  <w:rPr>
                    <w:color w:val="000000"/>
                    <w:sz w:val="16"/>
                    <w:szCs w:val="16"/>
                  </w:rPr>
                  <w:t>(ASME, 2018)</w:t>
                </w:r>
              </w:sdtContent>
            </w:sdt>
            <w:r w:rsidRPr="0069328B">
              <w:rPr>
                <w:sz w:val="16"/>
                <w:szCs w:val="16"/>
              </w:rPr>
              <w:t xml:space="preserve">; OECD PBK Model Guideline on documenting uncertainties </w:t>
            </w:r>
            <w:sdt>
              <w:sdtPr>
                <w:rPr>
                  <w:color w:val="000000"/>
                  <w:sz w:val="16"/>
                  <w:szCs w:val="16"/>
                </w:rPr>
                <w:tag w:val="MENDELEY_CITATION_v3_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"/>
                <w:id w:val="-1369837334"/>
                <w:placeholder>
                  <w:docPart w:val="62917C860493467A95D60E4199186801"/>
                </w:placeholder>
              </w:sdtPr>
              <w:sdtContent>
                <w:r w:rsidRPr="00375001">
                  <w:rPr>
                    <w:color w:val="000000"/>
                    <w:sz w:val="16"/>
                    <w:szCs w:val="16"/>
                  </w:rPr>
                  <w:t>(OECD, 2021)</w:t>
                </w:r>
              </w:sdtContent>
            </w:sdt>
          </w:p>
        </w:tc>
      </w:tr>
      <w:tr w:rsidR="00375001" w:rsidRPr="00E51FDA" w14:paraId="2D466218" w14:textId="77777777" w:rsidTr="0011083C">
        <w:tc>
          <w:tcPr>
            <w:tcW w:w="1985" w:type="dxa"/>
            <w:tcBorders>
              <w:top w:val="single" w:sz="4" w:space="0" w:color="auto"/>
              <w:bottom w:val="single" w:sz="4" w:space="0" w:color="auto"/>
            </w:tcBorders>
            <w:vAlign w:val="center"/>
          </w:tcPr>
          <w:p w14:paraId="7A4CA7ED" w14:textId="77777777" w:rsidR="00375001" w:rsidRPr="00920FDA" w:rsidRDefault="00375001" w:rsidP="0011083C">
            <w:pPr>
              <w:jc w:val="center"/>
              <w:rPr>
                <w:b/>
                <w:bCs/>
                <w:sz w:val="20"/>
                <w:szCs w:val="20"/>
              </w:rPr>
            </w:pPr>
            <w:r w:rsidRPr="00920FDA">
              <w:rPr>
                <w:b/>
                <w:bCs/>
                <w:sz w:val="20"/>
                <w:szCs w:val="20"/>
              </w:rPr>
              <w:t xml:space="preserve">Experimental Calibration (if needed) </w:t>
            </w:r>
          </w:p>
        </w:tc>
        <w:tc>
          <w:tcPr>
            <w:tcW w:w="1620" w:type="dxa"/>
            <w:tcBorders>
              <w:top w:val="single" w:sz="4" w:space="0" w:color="auto"/>
              <w:bottom w:val="single" w:sz="4" w:space="0" w:color="auto"/>
            </w:tcBorders>
            <w:vAlign w:val="center"/>
          </w:tcPr>
          <w:p w14:paraId="69D31659" w14:textId="77777777" w:rsidR="00375001" w:rsidRPr="00920FDA" w:rsidRDefault="00375001" w:rsidP="0011083C">
            <w:pPr>
              <w:jc w:val="center"/>
              <w:rPr>
                <w:sz w:val="20"/>
                <w:szCs w:val="20"/>
              </w:rPr>
            </w:pPr>
            <w:r w:rsidRPr="00920FDA">
              <w:rPr>
                <w:sz w:val="20"/>
                <w:szCs w:val="20"/>
              </w:rPr>
              <w:t>Both</w:t>
            </w:r>
          </w:p>
        </w:tc>
        <w:tc>
          <w:tcPr>
            <w:tcW w:w="2072" w:type="dxa"/>
            <w:tcBorders>
              <w:top w:val="single" w:sz="4" w:space="0" w:color="auto"/>
              <w:bottom w:val="single" w:sz="4" w:space="0" w:color="auto"/>
            </w:tcBorders>
            <w:vAlign w:val="center"/>
          </w:tcPr>
          <w:p w14:paraId="620D39DC" w14:textId="77777777" w:rsidR="00375001" w:rsidRPr="00920FDA" w:rsidRDefault="00375001" w:rsidP="0011083C">
            <w:pPr>
              <w:jc w:val="center"/>
              <w:rPr>
                <w:sz w:val="20"/>
                <w:szCs w:val="20"/>
              </w:rPr>
            </w:pPr>
            <w:r w:rsidRPr="00920FDA">
              <w:rPr>
                <w:sz w:val="20"/>
                <w:szCs w:val="20"/>
              </w:rPr>
              <w:t>Calibrate model parameters to match experimental baseline (before validation)</w:t>
            </w:r>
          </w:p>
        </w:tc>
        <w:tc>
          <w:tcPr>
            <w:tcW w:w="3962" w:type="dxa"/>
            <w:tcBorders>
              <w:top w:val="single" w:sz="4" w:space="0" w:color="auto"/>
              <w:bottom w:val="single" w:sz="4" w:space="0" w:color="auto"/>
            </w:tcBorders>
            <w:vAlign w:val="center"/>
          </w:tcPr>
          <w:p w14:paraId="30718B7C" w14:textId="77777777" w:rsidR="00375001" w:rsidRPr="00920FDA" w:rsidRDefault="00375001" w:rsidP="0011083C">
            <w:pPr>
              <w:jc w:val="center"/>
              <w:rPr>
                <w:sz w:val="20"/>
                <w:szCs w:val="20"/>
              </w:rPr>
            </w:pPr>
            <w:r w:rsidRPr="00920FDA">
              <w:rPr>
                <w:sz w:val="20"/>
                <w:szCs w:val="20"/>
              </w:rPr>
              <w:t xml:space="preserve">If certain parameters are unknown or </w:t>
            </w:r>
            <w:proofErr w:type="spellStart"/>
            <w:r w:rsidRPr="00920FDA">
              <w:rPr>
                <w:sz w:val="20"/>
                <w:szCs w:val="20"/>
              </w:rPr>
              <w:t>tuneable</w:t>
            </w:r>
            <w:proofErr w:type="spellEnd"/>
            <w:r w:rsidRPr="00920FDA">
              <w:rPr>
                <w:sz w:val="20"/>
                <w:szCs w:val="20"/>
              </w:rPr>
              <w:t xml:space="preserve"> (e.g. wall drag coefficient, cell permeability), perform calibration experiments. Fit the CFD model to a simple case (e.g. straight-channel pressure drop, or diffusion in a blank chip without cells) to estimate these parameters. Use the calibrated values in subsequent simulations.</w:t>
            </w:r>
          </w:p>
        </w:tc>
        <w:tc>
          <w:tcPr>
            <w:tcW w:w="1455" w:type="dxa"/>
            <w:tcBorders>
              <w:top w:val="single" w:sz="4" w:space="0" w:color="auto"/>
              <w:bottom w:val="single" w:sz="4" w:space="0" w:color="auto"/>
            </w:tcBorders>
            <w:vAlign w:val="center"/>
          </w:tcPr>
          <w:p w14:paraId="0F00D05E" w14:textId="2C3CACB0" w:rsidR="00375001" w:rsidRPr="0069328B" w:rsidRDefault="00375001" w:rsidP="0011083C">
            <w:pPr>
              <w:jc w:val="center"/>
              <w:rPr>
                <w:color w:val="7F7F7F" w:themeColor="text1" w:themeTint="80"/>
                <w:sz w:val="16"/>
                <w:szCs w:val="16"/>
              </w:rPr>
            </w:pPr>
            <w:r w:rsidRPr="0069328B">
              <w:rPr>
                <w:sz w:val="16"/>
                <w:szCs w:val="16"/>
              </w:rPr>
              <w:t xml:space="preserve">OECD guidance on model calibration and reporting </w:t>
            </w:r>
            <w:sdt>
              <w:sdtPr>
                <w:rPr>
                  <w:color w:val="000000"/>
                  <w:sz w:val="16"/>
                  <w:szCs w:val="16"/>
                </w:rPr>
                <w:tag w:val="MENDELEY_CITATION_v3_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"/>
                <w:id w:val="-1279637638"/>
                <w:placeholder>
                  <w:docPart w:val="62917C860493467A95D60E4199186801"/>
                </w:placeholder>
              </w:sdtPr>
              <w:sdtContent>
                <w:r w:rsidRPr="00375001">
                  <w:rPr>
                    <w:color w:val="000000"/>
                    <w:sz w:val="16"/>
                    <w:szCs w:val="16"/>
                  </w:rPr>
                  <w:t>(OECD, 2021)</w:t>
                </w:r>
              </w:sdtContent>
            </w:sdt>
          </w:p>
        </w:tc>
      </w:tr>
      <w:tr w:rsidR="00375001" w:rsidRPr="00E51FDA" w14:paraId="47E2863A" w14:textId="77777777" w:rsidTr="0011083C">
        <w:tc>
          <w:tcPr>
            <w:tcW w:w="1985" w:type="dxa"/>
            <w:tcBorders>
              <w:top w:val="single" w:sz="4" w:space="0" w:color="auto"/>
              <w:bottom w:val="single" w:sz="4" w:space="0" w:color="auto"/>
            </w:tcBorders>
            <w:vAlign w:val="center"/>
          </w:tcPr>
          <w:p w14:paraId="002DF230" w14:textId="77777777" w:rsidR="00375001" w:rsidRPr="00920FDA" w:rsidRDefault="00375001" w:rsidP="0011083C">
            <w:pPr>
              <w:jc w:val="center"/>
              <w:rPr>
                <w:b/>
                <w:bCs/>
                <w:sz w:val="20"/>
                <w:szCs w:val="20"/>
              </w:rPr>
            </w:pPr>
            <w:r w:rsidRPr="00920FDA">
              <w:rPr>
                <w:b/>
                <w:bCs/>
                <w:sz w:val="20"/>
                <w:szCs w:val="20"/>
              </w:rPr>
              <w:t>µPIV Velocity Field Validation</w:t>
            </w:r>
          </w:p>
        </w:tc>
        <w:tc>
          <w:tcPr>
            <w:tcW w:w="1620" w:type="dxa"/>
            <w:tcBorders>
              <w:top w:val="single" w:sz="4" w:space="0" w:color="auto"/>
              <w:bottom w:val="single" w:sz="4" w:space="0" w:color="auto"/>
            </w:tcBorders>
            <w:vAlign w:val="center"/>
          </w:tcPr>
          <w:p w14:paraId="7DB0C924" w14:textId="77777777" w:rsidR="00375001" w:rsidRPr="00920FDA" w:rsidRDefault="00375001" w:rsidP="0011083C">
            <w:pPr>
              <w:jc w:val="center"/>
              <w:rPr>
                <w:sz w:val="20"/>
                <w:szCs w:val="20"/>
              </w:rPr>
            </w:pPr>
            <w:r w:rsidRPr="00920FDA">
              <w:rPr>
                <w:sz w:val="20"/>
                <w:szCs w:val="20"/>
              </w:rPr>
              <w:t>Experimental</w:t>
            </w:r>
          </w:p>
        </w:tc>
        <w:tc>
          <w:tcPr>
            <w:tcW w:w="2072" w:type="dxa"/>
            <w:tcBorders>
              <w:top w:val="single" w:sz="4" w:space="0" w:color="auto"/>
              <w:bottom w:val="single" w:sz="4" w:space="0" w:color="auto"/>
            </w:tcBorders>
            <w:vAlign w:val="center"/>
          </w:tcPr>
          <w:p w14:paraId="022162A5" w14:textId="77777777" w:rsidR="00375001" w:rsidRPr="00920FDA" w:rsidRDefault="00375001" w:rsidP="0011083C">
            <w:pPr>
              <w:jc w:val="center"/>
              <w:rPr>
                <w:sz w:val="20"/>
                <w:szCs w:val="20"/>
              </w:rPr>
            </w:pPr>
            <w:r w:rsidRPr="00920FDA">
              <w:rPr>
                <w:sz w:val="20"/>
                <w:szCs w:val="20"/>
              </w:rPr>
              <w:t>Validate velocity field and shear predictions in microchannels or porous regions</w:t>
            </w:r>
          </w:p>
        </w:tc>
        <w:tc>
          <w:tcPr>
            <w:tcW w:w="3962" w:type="dxa"/>
            <w:tcBorders>
              <w:top w:val="single" w:sz="4" w:space="0" w:color="auto"/>
              <w:bottom w:val="single" w:sz="4" w:space="0" w:color="auto"/>
            </w:tcBorders>
            <w:vAlign w:val="center"/>
          </w:tcPr>
          <w:p w14:paraId="55D1F97B" w14:textId="77777777" w:rsidR="00375001" w:rsidRPr="00920FDA" w:rsidRDefault="00375001" w:rsidP="0011083C">
            <w:pPr>
              <w:jc w:val="center"/>
              <w:rPr>
                <w:sz w:val="20"/>
                <w:szCs w:val="20"/>
              </w:rPr>
            </w:pPr>
            <w:r w:rsidRPr="00920FDA">
              <w:rPr>
                <w:sz w:val="20"/>
                <w:szCs w:val="20"/>
              </w:rPr>
              <w:t>Seed the chip’s fluid with fluorescent micro-particles. Use micro-particle image velocimetry to capture velocity vectors in regions of interest (e.g. channel, around tumour spheroid). Compare vectors and velocity profiles to CFD predictions – qualitatively (flow patterns) and quantitatively (line profiles of velocity). Ideally, compute error metrics (e.g. mean difference) between experimental and simulated velocities.</w:t>
            </w:r>
          </w:p>
        </w:tc>
        <w:tc>
          <w:tcPr>
            <w:tcW w:w="1455" w:type="dxa"/>
            <w:tcBorders>
              <w:top w:val="single" w:sz="4" w:space="0" w:color="auto"/>
              <w:bottom w:val="single" w:sz="4" w:space="0" w:color="auto"/>
            </w:tcBorders>
            <w:vAlign w:val="center"/>
          </w:tcPr>
          <w:p w14:paraId="735CBD99" w14:textId="051D52C5" w:rsidR="00375001" w:rsidRPr="0069328B" w:rsidRDefault="00375001" w:rsidP="0011083C">
            <w:pPr>
              <w:jc w:val="center"/>
              <w:rPr>
                <w:color w:val="7F7F7F" w:themeColor="text1" w:themeTint="80"/>
                <w:sz w:val="16"/>
                <w:szCs w:val="16"/>
              </w:rPr>
            </w:pPr>
            <w:r w:rsidRPr="0069328B">
              <w:rPr>
                <w:sz w:val="16"/>
                <w:szCs w:val="16"/>
              </w:rPr>
              <w:t xml:space="preserve">Example: </w:t>
            </w:r>
            <w:sdt>
              <w:sdtPr>
                <w:rPr>
                  <w:color w:val="000000"/>
                  <w:sz w:val="16"/>
                  <w:szCs w:val="16"/>
                </w:rPr>
                <w:tag w:val="MENDELEY_CITATION_v3_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"/>
                <w:id w:val="143777820"/>
                <w:placeholder>
                  <w:docPart w:val="62917C860493467A95D60E4199186801"/>
                </w:placeholder>
              </w:sdtPr>
              <w:sdtContent>
                <w:r w:rsidRPr="00375001">
                  <w:rPr>
                    <w:color w:val="000000"/>
                    <w:sz w:val="16"/>
                    <w:szCs w:val="16"/>
                  </w:rPr>
                  <w:t>(Rito Pereira et al., 2022)</w:t>
                </w:r>
              </w:sdtContent>
            </w:sdt>
            <w:r w:rsidRPr="0069328B">
              <w:rPr>
                <w:color w:val="7F7F7F" w:themeColor="text1" w:themeTint="80"/>
                <w:sz w:val="16"/>
                <w:szCs w:val="16"/>
              </w:rPr>
              <w:t xml:space="preserve"> </w:t>
            </w:r>
            <w:r w:rsidRPr="0069328B">
              <w:rPr>
                <w:sz w:val="16"/>
                <w:szCs w:val="16"/>
              </w:rPr>
              <w:t>micro-PIV vs CFD in micro-canals showed close agreement; µPIV widely used for Lab-on-</w:t>
            </w:r>
            <w:r>
              <w:rPr>
                <w:sz w:val="16"/>
                <w:szCs w:val="16"/>
              </w:rPr>
              <w:t>c</w:t>
            </w:r>
            <w:r w:rsidRPr="0069328B">
              <w:rPr>
                <w:sz w:val="16"/>
                <w:szCs w:val="16"/>
              </w:rPr>
              <w:t xml:space="preserve">hip validation </w:t>
            </w:r>
            <w:sdt>
              <w:sdtPr>
                <w:rPr>
                  <w:color w:val="000000"/>
                  <w:sz w:val="16"/>
                  <w:szCs w:val="16"/>
                </w:rPr>
                <w:tag w:val="MENDELEY_CITATION_v3_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"/>
                <w:id w:val="595071043"/>
                <w:placeholder>
                  <w:docPart w:val="62917C860493467A95D60E4199186801"/>
                </w:placeholder>
              </w:sdtPr>
              <w:sdtContent>
                <w:r w:rsidRPr="00375001">
                  <w:rPr>
                    <w:color w:val="000000"/>
                    <w:sz w:val="16"/>
                    <w:szCs w:val="16"/>
                  </w:rPr>
                  <w:t>(Silva et al., 2008)</w:t>
                </w:r>
              </w:sdtContent>
            </w:sdt>
          </w:p>
        </w:tc>
      </w:tr>
      <w:tr w:rsidR="00375001" w:rsidRPr="00E51FDA" w14:paraId="1DC6B58E" w14:textId="77777777" w:rsidTr="0011083C">
        <w:tc>
          <w:tcPr>
            <w:tcW w:w="1985" w:type="dxa"/>
            <w:tcBorders>
              <w:top w:val="single" w:sz="4" w:space="0" w:color="auto"/>
              <w:bottom w:val="single" w:sz="4" w:space="0" w:color="auto"/>
            </w:tcBorders>
            <w:vAlign w:val="center"/>
          </w:tcPr>
          <w:p w14:paraId="58442B6C" w14:textId="77777777" w:rsidR="00375001" w:rsidRPr="00920FDA" w:rsidRDefault="00375001" w:rsidP="0011083C">
            <w:pPr>
              <w:jc w:val="center"/>
              <w:rPr>
                <w:b/>
                <w:bCs/>
                <w:sz w:val="20"/>
                <w:szCs w:val="20"/>
              </w:rPr>
            </w:pPr>
            <w:r w:rsidRPr="00920FDA">
              <w:rPr>
                <w:b/>
                <w:bCs/>
                <w:sz w:val="20"/>
                <w:szCs w:val="20"/>
              </w:rPr>
              <w:t>Pressure Drop / Flow Rate Validation</w:t>
            </w:r>
          </w:p>
        </w:tc>
        <w:tc>
          <w:tcPr>
            <w:tcW w:w="1620" w:type="dxa"/>
            <w:tcBorders>
              <w:top w:val="single" w:sz="4" w:space="0" w:color="auto"/>
              <w:bottom w:val="single" w:sz="4" w:space="0" w:color="auto"/>
            </w:tcBorders>
            <w:vAlign w:val="center"/>
          </w:tcPr>
          <w:p w14:paraId="4A42AB98" w14:textId="77777777" w:rsidR="00375001" w:rsidRPr="00920FDA" w:rsidRDefault="00375001" w:rsidP="0011083C">
            <w:pPr>
              <w:jc w:val="center"/>
              <w:rPr>
                <w:sz w:val="20"/>
                <w:szCs w:val="20"/>
              </w:rPr>
            </w:pPr>
            <w:r w:rsidRPr="00920FDA">
              <w:rPr>
                <w:sz w:val="20"/>
                <w:szCs w:val="20"/>
              </w:rPr>
              <w:t>Experimental</w:t>
            </w:r>
          </w:p>
        </w:tc>
        <w:tc>
          <w:tcPr>
            <w:tcW w:w="2072" w:type="dxa"/>
            <w:tcBorders>
              <w:top w:val="single" w:sz="4" w:space="0" w:color="auto"/>
              <w:bottom w:val="single" w:sz="4" w:space="0" w:color="auto"/>
            </w:tcBorders>
            <w:vAlign w:val="center"/>
          </w:tcPr>
          <w:p w14:paraId="7ABDCC7E" w14:textId="77777777" w:rsidR="00375001" w:rsidRPr="00920FDA" w:rsidRDefault="00375001" w:rsidP="0011083C">
            <w:pPr>
              <w:jc w:val="center"/>
              <w:rPr>
                <w:sz w:val="20"/>
                <w:szCs w:val="20"/>
              </w:rPr>
            </w:pPr>
            <w:r w:rsidRPr="00920FDA">
              <w:rPr>
                <w:sz w:val="20"/>
                <w:szCs w:val="20"/>
              </w:rPr>
              <w:t>Verify overall flow behaviour (circuit analogy) in device against model</w:t>
            </w:r>
          </w:p>
        </w:tc>
        <w:tc>
          <w:tcPr>
            <w:tcW w:w="3962" w:type="dxa"/>
            <w:tcBorders>
              <w:top w:val="single" w:sz="4" w:space="0" w:color="auto"/>
              <w:bottom w:val="single" w:sz="4" w:space="0" w:color="auto"/>
            </w:tcBorders>
            <w:vAlign w:val="center"/>
          </w:tcPr>
          <w:p w14:paraId="5E5AFBA7" w14:textId="77777777" w:rsidR="00375001" w:rsidRPr="00920FDA" w:rsidRDefault="00375001" w:rsidP="0011083C">
            <w:pPr>
              <w:jc w:val="center"/>
              <w:rPr>
                <w:sz w:val="20"/>
                <w:szCs w:val="20"/>
              </w:rPr>
            </w:pPr>
            <w:r w:rsidRPr="00920FDA">
              <w:rPr>
                <w:sz w:val="20"/>
                <w:szCs w:val="20"/>
              </w:rPr>
              <w:t xml:space="preserve">Measure </w:t>
            </w:r>
            <w:r>
              <w:rPr>
                <w:sz w:val="20"/>
                <w:szCs w:val="20"/>
              </w:rPr>
              <w:t xml:space="preserve">the </w:t>
            </w:r>
            <w:r w:rsidRPr="00920FDA">
              <w:rPr>
                <w:sz w:val="20"/>
                <w:szCs w:val="20"/>
              </w:rPr>
              <w:t>pressure drop across the device at known flow rates using a manometer or pressure sensor. Alternatively, impose a pressure drop and measure resulting flow rate. Compare to CFD-predicted pressure-flow relationship. This checks the bulk hydraulic resistance of the chip (important for overall perfusion).</w:t>
            </w:r>
          </w:p>
        </w:tc>
        <w:tc>
          <w:tcPr>
            <w:tcW w:w="1455" w:type="dxa"/>
            <w:tcBorders>
              <w:top w:val="single" w:sz="4" w:space="0" w:color="auto"/>
              <w:bottom w:val="single" w:sz="4" w:space="0" w:color="auto"/>
            </w:tcBorders>
            <w:vAlign w:val="center"/>
          </w:tcPr>
          <w:p w14:paraId="63751580" w14:textId="246CC882" w:rsidR="00375001" w:rsidRPr="0069328B" w:rsidRDefault="00375001" w:rsidP="0011083C">
            <w:pPr>
              <w:jc w:val="center"/>
              <w:rPr>
                <w:color w:val="7F7F7F" w:themeColor="text1" w:themeTint="80"/>
                <w:sz w:val="16"/>
                <w:szCs w:val="16"/>
              </w:rPr>
            </w:pPr>
            <w:r w:rsidRPr="0069328B">
              <w:rPr>
                <w:sz w:val="16"/>
                <w:szCs w:val="16"/>
              </w:rPr>
              <w:t xml:space="preserve">Standard fluid mechanics (e.g., Hagen–Poiseuille) for baseline; </w:t>
            </w:r>
            <w:sdt>
              <w:sdtPr>
                <w:rPr>
                  <w:color w:val="000000"/>
                  <w:sz w:val="16"/>
                  <w:szCs w:val="16"/>
                </w:rPr>
                <w:tag w:val="MENDELEY_CITATION_v3_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"/>
                <w:id w:val="66769224"/>
                <w:placeholder>
                  <w:docPart w:val="62917C860493467A95D60E4199186801"/>
                </w:placeholder>
              </w:sdtPr>
              <w:sdtContent>
                <w:r w:rsidRPr="00375001">
                  <w:rPr>
                    <w:color w:val="000000"/>
                    <w:sz w:val="16"/>
                    <w:szCs w:val="16"/>
                  </w:rPr>
                  <w:t>(FDA, 2016)</w:t>
                </w:r>
              </w:sdtContent>
            </w:sdt>
            <w:r w:rsidRPr="0069328B">
              <w:rPr>
                <w:color w:val="7F7F7F" w:themeColor="text1" w:themeTint="80"/>
                <w:sz w:val="16"/>
                <w:szCs w:val="16"/>
              </w:rPr>
              <w:t xml:space="preserve"> </w:t>
            </w:r>
            <w:r w:rsidRPr="0069328B">
              <w:rPr>
                <w:sz w:val="16"/>
                <w:szCs w:val="16"/>
              </w:rPr>
              <w:t>benchmark nozzle or microfluidic network models; Ensures no major leaks or mis-modelled resistances in CFD</w:t>
            </w:r>
          </w:p>
        </w:tc>
      </w:tr>
      <w:tr w:rsidR="00375001" w:rsidRPr="00920FDA" w14:paraId="2A399AEB" w14:textId="77777777" w:rsidTr="0011083C">
        <w:tc>
          <w:tcPr>
            <w:tcW w:w="1985" w:type="dxa"/>
            <w:tcBorders>
              <w:top w:val="single" w:sz="4" w:space="0" w:color="auto"/>
              <w:bottom w:val="single" w:sz="4" w:space="0" w:color="auto"/>
            </w:tcBorders>
            <w:vAlign w:val="center"/>
          </w:tcPr>
          <w:p w14:paraId="6B2FCB32" w14:textId="77777777" w:rsidR="00375001" w:rsidRPr="00920FDA" w:rsidRDefault="00375001" w:rsidP="0011083C">
            <w:pPr>
              <w:jc w:val="center"/>
              <w:rPr>
                <w:b/>
                <w:bCs/>
                <w:sz w:val="20"/>
                <w:szCs w:val="20"/>
              </w:rPr>
            </w:pPr>
            <w:r w:rsidRPr="00920FDA">
              <w:rPr>
                <w:b/>
                <w:bCs/>
                <w:sz w:val="20"/>
                <w:szCs w:val="20"/>
              </w:rPr>
              <w:t>Tracer/Dye</w:t>
            </w:r>
            <w:r w:rsidRPr="00920FDA">
              <w:t xml:space="preserve"> </w:t>
            </w:r>
            <w:proofErr w:type="spellStart"/>
            <w:r w:rsidRPr="00920FDA">
              <w:rPr>
                <w:b/>
                <w:bCs/>
                <w:sz w:val="20"/>
                <w:szCs w:val="20"/>
              </w:rPr>
              <w:t>Visual</w:t>
            </w:r>
            <w:r>
              <w:rPr>
                <w:b/>
                <w:bCs/>
                <w:sz w:val="20"/>
                <w:szCs w:val="20"/>
              </w:rPr>
              <w:t>isa</w:t>
            </w:r>
            <w:r w:rsidRPr="00920FDA">
              <w:rPr>
                <w:b/>
                <w:bCs/>
                <w:sz w:val="20"/>
                <w:szCs w:val="20"/>
              </w:rPr>
              <w:t>tion</w:t>
            </w:r>
            <w:proofErr w:type="spellEnd"/>
            <w:r w:rsidRPr="00920FDA">
              <w:rPr>
                <w:b/>
                <w:bCs/>
                <w:sz w:val="20"/>
                <w:szCs w:val="20"/>
              </w:rPr>
              <w:t xml:space="preserve"> of Gradients</w:t>
            </w:r>
          </w:p>
        </w:tc>
        <w:tc>
          <w:tcPr>
            <w:tcW w:w="1620" w:type="dxa"/>
            <w:tcBorders>
              <w:top w:val="single" w:sz="4" w:space="0" w:color="auto"/>
              <w:bottom w:val="single" w:sz="4" w:space="0" w:color="auto"/>
            </w:tcBorders>
            <w:vAlign w:val="center"/>
          </w:tcPr>
          <w:p w14:paraId="2393295D" w14:textId="77777777" w:rsidR="00375001" w:rsidRPr="00920FDA" w:rsidRDefault="00375001" w:rsidP="0011083C">
            <w:pPr>
              <w:jc w:val="center"/>
              <w:rPr>
                <w:sz w:val="20"/>
                <w:szCs w:val="20"/>
              </w:rPr>
            </w:pPr>
            <w:r w:rsidRPr="00920FDA">
              <w:rPr>
                <w:sz w:val="20"/>
                <w:szCs w:val="20"/>
              </w:rPr>
              <w:t>Experimental</w:t>
            </w:r>
          </w:p>
        </w:tc>
        <w:tc>
          <w:tcPr>
            <w:tcW w:w="2072" w:type="dxa"/>
            <w:tcBorders>
              <w:top w:val="single" w:sz="4" w:space="0" w:color="auto"/>
              <w:bottom w:val="single" w:sz="4" w:space="0" w:color="auto"/>
            </w:tcBorders>
            <w:vAlign w:val="center"/>
          </w:tcPr>
          <w:p w14:paraId="5FA69359" w14:textId="77777777" w:rsidR="00375001" w:rsidRPr="00920FDA" w:rsidRDefault="00375001" w:rsidP="0011083C">
            <w:pPr>
              <w:jc w:val="center"/>
              <w:rPr>
                <w:sz w:val="20"/>
                <w:szCs w:val="20"/>
              </w:rPr>
            </w:pPr>
            <w:r w:rsidRPr="00920FDA">
              <w:rPr>
                <w:sz w:val="20"/>
                <w:szCs w:val="20"/>
              </w:rPr>
              <w:t>Validate species transport and mixing predictions (concentration fields)</w:t>
            </w:r>
          </w:p>
        </w:tc>
        <w:tc>
          <w:tcPr>
            <w:tcW w:w="3962" w:type="dxa"/>
            <w:tcBorders>
              <w:top w:val="single" w:sz="4" w:space="0" w:color="auto"/>
              <w:bottom w:val="single" w:sz="4" w:space="0" w:color="auto"/>
            </w:tcBorders>
            <w:vAlign w:val="center"/>
          </w:tcPr>
          <w:p w14:paraId="146FB0E0" w14:textId="77777777" w:rsidR="00375001" w:rsidRPr="00920FDA" w:rsidRDefault="00375001" w:rsidP="0011083C">
            <w:pPr>
              <w:jc w:val="center"/>
              <w:rPr>
                <w:sz w:val="20"/>
                <w:szCs w:val="20"/>
              </w:rPr>
            </w:pPr>
            <w:r w:rsidRPr="00920FDA">
              <w:rPr>
                <w:sz w:val="20"/>
                <w:szCs w:val="20"/>
              </w:rPr>
              <w:t xml:space="preserve">Introduce a </w:t>
            </w:r>
            <w:proofErr w:type="spellStart"/>
            <w:r w:rsidRPr="00920FDA">
              <w:rPr>
                <w:sz w:val="20"/>
                <w:szCs w:val="20"/>
              </w:rPr>
              <w:t>coloured</w:t>
            </w:r>
            <w:proofErr w:type="spellEnd"/>
            <w:r w:rsidRPr="00920FDA">
              <w:rPr>
                <w:sz w:val="20"/>
                <w:szCs w:val="20"/>
              </w:rPr>
              <w:t xml:space="preserve"> or fluorescent tracer into the device to establish a concentration gradient or mixing interface (e.g. a dye in one inlet of a Y-channel). Capture images or intensity profiles over time. Compare the measured concentration profiles or front propagation speed with CFD simulation of the tracer. For steady gradients (e.g. in a gradient generator), compare the profile shape (linear, exponential, etc.) between experiment and simulation.</w:t>
            </w:r>
          </w:p>
        </w:tc>
        <w:tc>
          <w:tcPr>
            <w:tcW w:w="1455" w:type="dxa"/>
            <w:tcBorders>
              <w:top w:val="single" w:sz="4" w:space="0" w:color="auto"/>
              <w:bottom w:val="single" w:sz="4" w:space="0" w:color="auto"/>
            </w:tcBorders>
            <w:vAlign w:val="center"/>
          </w:tcPr>
          <w:p w14:paraId="1BE1384D" w14:textId="7856B778" w:rsidR="00375001" w:rsidRPr="0069328B" w:rsidRDefault="00375001" w:rsidP="0011083C">
            <w:pPr>
              <w:jc w:val="center"/>
              <w:rPr>
                <w:sz w:val="16"/>
                <w:szCs w:val="16"/>
              </w:rPr>
            </w:pPr>
            <w:sdt>
              <w:sdtPr>
                <w:rPr>
                  <w:color w:val="000000"/>
                  <w:sz w:val="16"/>
                  <w:szCs w:val="16"/>
                </w:rPr>
                <w:tag w:val="MENDELEY_CITATION_v3_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"/>
                <w:id w:val="1437639669"/>
                <w:placeholder>
                  <w:docPart w:val="62917C860493467A95D60E4199186801"/>
                </w:placeholder>
              </w:sdtPr>
              <w:sdtContent>
                <w:r w:rsidRPr="00375001">
                  <w:rPr>
                    <w:color w:val="000000"/>
                    <w:sz w:val="16"/>
                    <w:szCs w:val="16"/>
                  </w:rPr>
                  <w:t>(Marturano-</w:t>
                </w:r>
                <w:proofErr w:type="spellStart"/>
                <w:r w:rsidRPr="00375001">
                  <w:rPr>
                    <w:color w:val="000000"/>
                    <w:sz w:val="16"/>
                    <w:szCs w:val="16"/>
                  </w:rPr>
                  <w:t>Kruik</w:t>
                </w:r>
                <w:proofErr w:type="spellEnd"/>
                <w:r w:rsidRPr="00375001">
                  <w:rPr>
                    <w:color w:val="000000"/>
                    <w:sz w:val="16"/>
                    <w:szCs w:val="16"/>
                  </w:rPr>
                  <w:t xml:space="preserve"> et al., 2018)</w:t>
                </w:r>
              </w:sdtContent>
            </w:sdt>
            <w:r w:rsidRPr="0069328B">
              <w:rPr>
                <w:sz w:val="16"/>
                <w:szCs w:val="16"/>
              </w:rPr>
              <w:t xml:space="preserve">  validated CFD-predicted flow velocities using fluorescent microspheres in bone-on-chip to; </w:t>
            </w:r>
            <w:sdt>
              <w:sdtPr>
                <w:rPr>
                  <w:color w:val="000000"/>
                  <w:sz w:val="16"/>
                  <w:szCs w:val="16"/>
                </w:rPr>
                <w:tag w:val="MENDELEY_CITATION_v3_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"/>
                <w:id w:val="-1339224507"/>
                <w:placeholder>
                  <w:docPart w:val="62917C860493467A95D60E4199186801"/>
                </w:placeholder>
              </w:sdtPr>
              <w:sdtContent>
                <w:r w:rsidRPr="00375001">
                  <w:rPr>
                    <w:color w:val="000000"/>
                    <w:sz w:val="16"/>
                    <w:szCs w:val="16"/>
                  </w:rPr>
                  <w:t>(Tonon et al., 2019)</w:t>
                </w:r>
              </w:sdtContent>
            </w:sdt>
            <w:r w:rsidRPr="0069328B">
              <w:rPr>
                <w:color w:val="7F7F7F" w:themeColor="text1" w:themeTint="80"/>
                <w:sz w:val="16"/>
                <w:szCs w:val="16"/>
              </w:rPr>
              <w:t xml:space="preserve"> </w:t>
            </w:r>
            <w:r w:rsidRPr="0069328B">
              <w:rPr>
                <w:sz w:val="16"/>
                <w:szCs w:val="16"/>
              </w:rPr>
              <w:t>used ruthenium dye to validate O₂ gradient shape</w:t>
            </w:r>
          </w:p>
        </w:tc>
      </w:tr>
      <w:tr w:rsidR="00375001" w:rsidRPr="00920FDA" w14:paraId="7D227C27" w14:textId="77777777" w:rsidTr="0011083C">
        <w:tc>
          <w:tcPr>
            <w:tcW w:w="1985" w:type="dxa"/>
            <w:tcBorders>
              <w:top w:val="single" w:sz="4" w:space="0" w:color="auto"/>
              <w:bottom w:val="single" w:sz="4" w:space="0" w:color="auto"/>
            </w:tcBorders>
            <w:vAlign w:val="center"/>
          </w:tcPr>
          <w:p w14:paraId="7EF90501" w14:textId="77777777" w:rsidR="00375001" w:rsidRPr="00920FDA" w:rsidRDefault="00375001" w:rsidP="0011083C">
            <w:pPr>
              <w:jc w:val="center"/>
              <w:rPr>
                <w:b/>
                <w:bCs/>
                <w:sz w:val="20"/>
                <w:szCs w:val="20"/>
              </w:rPr>
            </w:pPr>
            <w:r w:rsidRPr="00920FDA">
              <w:rPr>
                <w:b/>
                <w:bCs/>
                <w:sz w:val="20"/>
                <w:szCs w:val="20"/>
              </w:rPr>
              <w:lastRenderedPageBreak/>
              <w:t>Oxygen Gradient &amp; Concentration Validation</w:t>
            </w:r>
          </w:p>
        </w:tc>
        <w:tc>
          <w:tcPr>
            <w:tcW w:w="1620" w:type="dxa"/>
            <w:tcBorders>
              <w:top w:val="single" w:sz="4" w:space="0" w:color="auto"/>
              <w:bottom w:val="single" w:sz="4" w:space="0" w:color="auto"/>
            </w:tcBorders>
            <w:vAlign w:val="center"/>
          </w:tcPr>
          <w:p w14:paraId="3241FD30" w14:textId="77777777" w:rsidR="00375001" w:rsidRPr="00920FDA" w:rsidRDefault="00375001" w:rsidP="0011083C">
            <w:pPr>
              <w:jc w:val="center"/>
              <w:rPr>
                <w:sz w:val="20"/>
                <w:szCs w:val="20"/>
              </w:rPr>
            </w:pPr>
            <w:r w:rsidRPr="00920FDA">
              <w:rPr>
                <w:sz w:val="20"/>
                <w:szCs w:val="20"/>
              </w:rPr>
              <w:t>Experimental</w:t>
            </w:r>
          </w:p>
        </w:tc>
        <w:tc>
          <w:tcPr>
            <w:tcW w:w="2072" w:type="dxa"/>
            <w:tcBorders>
              <w:top w:val="single" w:sz="4" w:space="0" w:color="auto"/>
              <w:bottom w:val="single" w:sz="4" w:space="0" w:color="auto"/>
            </w:tcBorders>
            <w:vAlign w:val="center"/>
          </w:tcPr>
          <w:p w14:paraId="289ADDCD" w14:textId="77777777" w:rsidR="00375001" w:rsidRPr="00920FDA" w:rsidRDefault="00375001" w:rsidP="0011083C">
            <w:pPr>
              <w:jc w:val="center"/>
              <w:rPr>
                <w:sz w:val="20"/>
                <w:szCs w:val="20"/>
              </w:rPr>
            </w:pPr>
            <w:r w:rsidRPr="00920FDA">
              <w:rPr>
                <w:sz w:val="20"/>
                <w:szCs w:val="20"/>
              </w:rPr>
              <w:t>Confirm CFD-predicted oxygen (or nutrient) distributions and identify hypoxic zones correctly</w:t>
            </w:r>
          </w:p>
        </w:tc>
        <w:tc>
          <w:tcPr>
            <w:tcW w:w="3962" w:type="dxa"/>
            <w:tcBorders>
              <w:top w:val="single" w:sz="4" w:space="0" w:color="auto"/>
              <w:bottom w:val="single" w:sz="4" w:space="0" w:color="auto"/>
            </w:tcBorders>
            <w:vAlign w:val="center"/>
          </w:tcPr>
          <w:p w14:paraId="583BC043" w14:textId="77777777" w:rsidR="00375001" w:rsidRPr="00920FDA" w:rsidRDefault="00375001" w:rsidP="0011083C">
            <w:pPr>
              <w:jc w:val="center"/>
              <w:rPr>
                <w:sz w:val="20"/>
                <w:szCs w:val="20"/>
              </w:rPr>
            </w:pPr>
            <w:r w:rsidRPr="00920FDA">
              <w:rPr>
                <w:sz w:val="20"/>
                <w:szCs w:val="20"/>
              </w:rPr>
              <w:t>Use oxygen-sensitive fluorescent sensors (e.g. ruthenium-based dye or optical sensor spots) in the chip. Calibrate the sensor (21% O₂ and 0% O₂ references). Measure oxygen levels at various positions under operating conditions. Compare to CFD-predicted O₂ values at those positions. Additionally, use hypoxia markers (e.g. pimonidazole staining in cells, or HIF-1α immunostaining) after an experiment to see if regions predicted to be hypoxic indeed show hypoxia biologically. This provides qualitative validation that the oxygen depletion predicted by the model has biological effects in those regions.</w:t>
            </w:r>
          </w:p>
        </w:tc>
        <w:tc>
          <w:tcPr>
            <w:tcW w:w="1455" w:type="dxa"/>
            <w:tcBorders>
              <w:top w:val="single" w:sz="4" w:space="0" w:color="auto"/>
              <w:bottom w:val="single" w:sz="4" w:space="0" w:color="auto"/>
            </w:tcBorders>
            <w:vAlign w:val="center"/>
          </w:tcPr>
          <w:p w14:paraId="074BAC6D" w14:textId="7C01EC9F" w:rsidR="00375001" w:rsidRPr="0069328B" w:rsidRDefault="00375001" w:rsidP="0011083C">
            <w:pPr>
              <w:jc w:val="center"/>
              <w:rPr>
                <w:sz w:val="16"/>
                <w:szCs w:val="16"/>
              </w:rPr>
            </w:pPr>
            <w:sdt>
              <w:sdtPr>
                <w:rPr>
                  <w:color w:val="000000"/>
                  <w:sz w:val="16"/>
                  <w:szCs w:val="16"/>
                </w:rPr>
                <w:tag w:val="MENDELEY_CITATION_v3_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"/>
                <w:id w:val="-1782640350"/>
                <w:placeholder>
                  <w:docPart w:val="62917C860493467A95D60E4199186801"/>
                </w:placeholder>
              </w:sdtPr>
              <w:sdtContent>
                <w:r w:rsidRPr="00375001">
                  <w:rPr>
                    <w:color w:val="000000"/>
                    <w:sz w:val="16"/>
                    <w:szCs w:val="16"/>
                  </w:rPr>
                  <w:t>(Ando et al., 2017)</w:t>
                </w:r>
              </w:sdtContent>
            </w:sdt>
            <w:r w:rsidRPr="0069328B">
              <w:rPr>
                <w:sz w:val="16"/>
                <w:szCs w:val="16"/>
              </w:rPr>
              <w:t xml:space="preserve"> embedded O₂ sensor particles in a tumour chip, showing sensor readings matched simulation and correlated with pimonidazole staining; </w:t>
            </w:r>
            <w:sdt>
              <w:sdtPr>
                <w:rPr>
                  <w:color w:val="000000"/>
                  <w:sz w:val="16"/>
                  <w:szCs w:val="16"/>
                </w:rPr>
                <w:tag w:val="MENDELEY_CITATION_v3_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"/>
                <w:id w:val="-2092224198"/>
                <w:placeholder>
                  <w:docPart w:val="62917C860493467A95D60E4199186801"/>
                </w:placeholder>
              </w:sdtPr>
              <w:sdtContent>
                <w:r w:rsidRPr="00375001">
                  <w:rPr>
                    <w:color w:val="000000"/>
                    <w:sz w:val="16"/>
                    <w:szCs w:val="16"/>
                  </w:rPr>
                  <w:t>(Guidance Document on Good In Vitro Method Practices (GIVIMP), 2018)</w:t>
                </w:r>
              </w:sdtContent>
            </w:sdt>
            <w:r w:rsidRPr="0069328B">
              <w:rPr>
                <w:sz w:val="16"/>
                <w:szCs w:val="16"/>
              </w:rPr>
              <w:t xml:space="preserve"> suggests using analytical measurements to validate gradients in </w:t>
            </w:r>
            <w:proofErr w:type="spellStart"/>
            <w:r w:rsidRPr="0069328B">
              <w:rPr>
                <w:sz w:val="16"/>
                <w:szCs w:val="16"/>
              </w:rPr>
              <w:t>microphysiological</w:t>
            </w:r>
            <w:proofErr w:type="spellEnd"/>
            <w:r w:rsidRPr="0069328B">
              <w:rPr>
                <w:sz w:val="16"/>
                <w:szCs w:val="16"/>
              </w:rPr>
              <w:t xml:space="preserve"> systems</w:t>
            </w:r>
          </w:p>
        </w:tc>
      </w:tr>
      <w:tr w:rsidR="00375001" w:rsidRPr="00920FDA" w14:paraId="63B8D005" w14:textId="77777777" w:rsidTr="0011083C">
        <w:tc>
          <w:tcPr>
            <w:tcW w:w="1985" w:type="dxa"/>
            <w:tcBorders>
              <w:top w:val="single" w:sz="4" w:space="0" w:color="auto"/>
              <w:bottom w:val="single" w:sz="4" w:space="0" w:color="auto"/>
            </w:tcBorders>
            <w:vAlign w:val="center"/>
          </w:tcPr>
          <w:p w14:paraId="2F01EAF7" w14:textId="77777777" w:rsidR="00375001" w:rsidRPr="00920FDA" w:rsidRDefault="00375001" w:rsidP="0011083C">
            <w:pPr>
              <w:jc w:val="center"/>
              <w:rPr>
                <w:b/>
                <w:bCs/>
                <w:sz w:val="20"/>
                <w:szCs w:val="20"/>
              </w:rPr>
            </w:pPr>
            <w:r w:rsidRPr="00920FDA">
              <w:rPr>
                <w:b/>
                <w:bCs/>
                <w:sz w:val="20"/>
                <w:szCs w:val="20"/>
              </w:rPr>
              <w:t>Sensor Integration and Calibration</w:t>
            </w:r>
          </w:p>
        </w:tc>
        <w:tc>
          <w:tcPr>
            <w:tcW w:w="1620" w:type="dxa"/>
            <w:tcBorders>
              <w:top w:val="single" w:sz="4" w:space="0" w:color="auto"/>
              <w:bottom w:val="single" w:sz="4" w:space="0" w:color="auto"/>
            </w:tcBorders>
            <w:vAlign w:val="center"/>
          </w:tcPr>
          <w:p w14:paraId="779FD6E0" w14:textId="77777777" w:rsidR="00375001" w:rsidRPr="00920FDA" w:rsidRDefault="00375001" w:rsidP="0011083C">
            <w:pPr>
              <w:jc w:val="center"/>
              <w:rPr>
                <w:sz w:val="20"/>
                <w:szCs w:val="20"/>
              </w:rPr>
            </w:pPr>
            <w:r w:rsidRPr="00920FDA">
              <w:rPr>
                <w:sz w:val="20"/>
                <w:szCs w:val="20"/>
              </w:rPr>
              <w:t>Experimental</w:t>
            </w:r>
          </w:p>
        </w:tc>
        <w:tc>
          <w:tcPr>
            <w:tcW w:w="2072" w:type="dxa"/>
            <w:tcBorders>
              <w:top w:val="single" w:sz="4" w:space="0" w:color="auto"/>
              <w:bottom w:val="single" w:sz="4" w:space="0" w:color="auto"/>
            </w:tcBorders>
            <w:vAlign w:val="center"/>
          </w:tcPr>
          <w:p w14:paraId="4A0344B6" w14:textId="77777777" w:rsidR="00375001" w:rsidRPr="00920FDA" w:rsidRDefault="00375001" w:rsidP="0011083C">
            <w:pPr>
              <w:jc w:val="center"/>
              <w:rPr>
                <w:sz w:val="20"/>
                <w:szCs w:val="20"/>
              </w:rPr>
            </w:pPr>
            <w:r w:rsidRPr="00920FDA">
              <w:rPr>
                <w:sz w:val="20"/>
                <w:szCs w:val="20"/>
              </w:rPr>
              <w:t>Validate model using on-chip sensor data (flow, pressure, etc.), ensuring sensor accuracy</w:t>
            </w:r>
          </w:p>
        </w:tc>
        <w:tc>
          <w:tcPr>
            <w:tcW w:w="3962" w:type="dxa"/>
            <w:tcBorders>
              <w:top w:val="single" w:sz="4" w:space="0" w:color="auto"/>
              <w:bottom w:val="single" w:sz="4" w:space="0" w:color="auto"/>
            </w:tcBorders>
            <w:vAlign w:val="center"/>
          </w:tcPr>
          <w:p w14:paraId="7A6FE556" w14:textId="77777777" w:rsidR="00375001" w:rsidRPr="00920FDA" w:rsidRDefault="00375001" w:rsidP="0011083C">
            <w:pPr>
              <w:jc w:val="center"/>
              <w:rPr>
                <w:sz w:val="20"/>
                <w:szCs w:val="20"/>
              </w:rPr>
            </w:pPr>
            <w:r w:rsidRPr="00920FDA">
              <w:rPr>
                <w:sz w:val="20"/>
                <w:szCs w:val="20"/>
              </w:rPr>
              <w:t>Calibrate on-chip sensors (flow sensors, pressure transducers, oxygen probes) with known standards (e.g. known flow rates from a pump, known gas concentrations). During chip operation, record sensor outputs (e.g. real-time flow rate or oxygen level) and compare against CFD-predicted values at the same sensor location/conditions. Use calibrated correction factors if needed. This real-time validation can also track if the model holds over time (e.g. does predicted flow remain stable and equal to measured flow over hours).</w:t>
            </w:r>
          </w:p>
        </w:tc>
        <w:tc>
          <w:tcPr>
            <w:tcW w:w="1455" w:type="dxa"/>
            <w:tcBorders>
              <w:top w:val="single" w:sz="4" w:space="0" w:color="auto"/>
              <w:bottom w:val="single" w:sz="4" w:space="0" w:color="auto"/>
            </w:tcBorders>
            <w:vAlign w:val="center"/>
          </w:tcPr>
          <w:p w14:paraId="31BE11AC" w14:textId="57F1B84D" w:rsidR="00375001" w:rsidRPr="0069328B" w:rsidRDefault="00375001" w:rsidP="0011083C">
            <w:pPr>
              <w:jc w:val="center"/>
              <w:rPr>
                <w:color w:val="7F7F7F" w:themeColor="text1" w:themeTint="80"/>
                <w:sz w:val="16"/>
                <w:szCs w:val="16"/>
              </w:rPr>
            </w:pPr>
            <w:r w:rsidRPr="0069328B">
              <w:rPr>
                <w:sz w:val="16"/>
                <w:szCs w:val="16"/>
              </w:rPr>
              <w:t xml:space="preserve">Microfluidic oxygen sensor calibrated at 0% and 21% O₂ to validate gradient formation </w:t>
            </w:r>
            <w:sdt>
              <w:sdtPr>
                <w:rPr>
                  <w:color w:val="000000"/>
                  <w:sz w:val="16"/>
                  <w:szCs w:val="16"/>
                  <w14:textFill>
                    <w14:solidFill>
                      <w14:srgbClr w14:val="000000">
                        <w14:lumMod w14:val="50000"/>
                        <w14:lumOff w14:val="50000"/>
                      </w14:srgbClr>
                    </w14:solidFill>
                  </w14:textFill>
                </w:rPr>
                <w:tag w:val="MENDELEY_CITATION_v3_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"/>
                <w:id w:val="-1167330026"/>
                <w:placeholder>
                  <w:docPart w:val="62917C860493467A95D60E4199186801"/>
                </w:placeholder>
              </w:sdtPr>
              <w:sdtContent>
                <w:r w:rsidRPr="00375001">
                  <w:rPr>
                    <w:color w:val="000000"/>
                    <w:sz w:val="16"/>
                    <w:szCs w:val="16"/>
                  </w:rPr>
                  <w:t>(Rexius-Hall et al., 2017)</w:t>
                </w:r>
              </w:sdtContent>
            </w:sdt>
          </w:p>
        </w:tc>
      </w:tr>
      <w:tr w:rsidR="00375001" w:rsidRPr="00920FDA" w14:paraId="122FB331" w14:textId="77777777" w:rsidTr="0011083C">
        <w:tc>
          <w:tcPr>
            <w:tcW w:w="1985" w:type="dxa"/>
            <w:tcBorders>
              <w:top w:val="single" w:sz="4" w:space="0" w:color="auto"/>
              <w:bottom w:val="single" w:sz="4" w:space="0" w:color="auto"/>
            </w:tcBorders>
            <w:vAlign w:val="center"/>
          </w:tcPr>
          <w:p w14:paraId="4411362B" w14:textId="77777777" w:rsidR="00375001" w:rsidRPr="00920FDA" w:rsidRDefault="00375001" w:rsidP="0011083C">
            <w:pPr>
              <w:jc w:val="center"/>
              <w:rPr>
                <w:b/>
                <w:bCs/>
                <w:sz w:val="20"/>
                <w:szCs w:val="20"/>
              </w:rPr>
            </w:pPr>
            <w:r w:rsidRPr="00920FDA">
              <w:rPr>
                <w:b/>
                <w:bCs/>
                <w:sz w:val="20"/>
                <w:szCs w:val="20"/>
              </w:rPr>
              <w:t>Statistical Comparison and Acceptance Criteria</w:t>
            </w:r>
          </w:p>
        </w:tc>
        <w:tc>
          <w:tcPr>
            <w:tcW w:w="1620" w:type="dxa"/>
            <w:tcBorders>
              <w:top w:val="single" w:sz="4" w:space="0" w:color="auto"/>
              <w:bottom w:val="single" w:sz="4" w:space="0" w:color="auto"/>
            </w:tcBorders>
            <w:vAlign w:val="center"/>
          </w:tcPr>
          <w:p w14:paraId="6357EE1B" w14:textId="77777777" w:rsidR="00375001" w:rsidRPr="00920FDA" w:rsidRDefault="00375001" w:rsidP="0011083C">
            <w:pPr>
              <w:jc w:val="center"/>
              <w:rPr>
                <w:sz w:val="20"/>
                <w:szCs w:val="20"/>
              </w:rPr>
            </w:pPr>
            <w:r w:rsidRPr="00920FDA">
              <w:rPr>
                <w:sz w:val="20"/>
                <w:szCs w:val="20"/>
              </w:rPr>
              <w:t>Both</w:t>
            </w:r>
          </w:p>
        </w:tc>
        <w:tc>
          <w:tcPr>
            <w:tcW w:w="2072" w:type="dxa"/>
            <w:tcBorders>
              <w:top w:val="single" w:sz="4" w:space="0" w:color="auto"/>
              <w:bottom w:val="single" w:sz="4" w:space="0" w:color="auto"/>
            </w:tcBorders>
            <w:vAlign w:val="center"/>
          </w:tcPr>
          <w:p w14:paraId="3F565D85" w14:textId="77777777" w:rsidR="00375001" w:rsidRPr="00920FDA" w:rsidRDefault="00375001" w:rsidP="0011083C">
            <w:pPr>
              <w:jc w:val="center"/>
              <w:rPr>
                <w:sz w:val="20"/>
                <w:szCs w:val="20"/>
              </w:rPr>
            </w:pPr>
            <w:r w:rsidRPr="00920FDA">
              <w:rPr>
                <w:sz w:val="20"/>
                <w:szCs w:val="20"/>
              </w:rPr>
              <w:t>Quantitatively assess model vs. experiment agreement and decide if model is “validated” for purpose</w:t>
            </w:r>
          </w:p>
        </w:tc>
        <w:tc>
          <w:tcPr>
            <w:tcW w:w="3962" w:type="dxa"/>
            <w:tcBorders>
              <w:top w:val="single" w:sz="4" w:space="0" w:color="auto"/>
              <w:bottom w:val="single" w:sz="4" w:space="0" w:color="auto"/>
            </w:tcBorders>
            <w:vAlign w:val="center"/>
          </w:tcPr>
          <w:p w14:paraId="6F4E9DBE" w14:textId="77777777" w:rsidR="00375001" w:rsidRPr="00920FDA" w:rsidRDefault="00375001" w:rsidP="0011083C">
            <w:pPr>
              <w:jc w:val="center"/>
              <w:rPr>
                <w:sz w:val="20"/>
                <w:szCs w:val="20"/>
              </w:rPr>
            </w:pPr>
            <w:r w:rsidRPr="00920FDA">
              <w:rPr>
                <w:sz w:val="20"/>
                <w:szCs w:val="20"/>
              </w:rPr>
              <w:t xml:space="preserve">Apply statistical tests or error metrics to the validation data. For instance, use the </w:t>
            </w:r>
            <w:r w:rsidRPr="002F2E51">
              <w:rPr>
                <w:sz w:val="20"/>
                <w:szCs w:val="20"/>
              </w:rPr>
              <w:t>student’s t-test</w:t>
            </w:r>
            <w:r w:rsidRPr="00920FDA">
              <w:rPr>
                <w:sz w:val="20"/>
                <w:szCs w:val="20"/>
              </w:rPr>
              <w:t xml:space="preserve"> or equivalence tests to see if simulation and experiment differ significantly, accounting for uncertainty. Define acceptance criteria (e.g. “CFD and experiment must agree within 10% for key outputs”). If criteria are met, model is validated for that condition (context of use). If not, identify whether discrepancies are due to model error or experimental uncertainty, and iterate. A threshold-based approach can be used: if differences are small relative to a critical threshold (e.g. a safety limit of shear stress), the model may be acceptable </w:t>
            </w:r>
          </w:p>
        </w:tc>
        <w:tc>
          <w:tcPr>
            <w:tcW w:w="1455" w:type="dxa"/>
            <w:tcBorders>
              <w:top w:val="single" w:sz="4" w:space="0" w:color="auto"/>
              <w:bottom w:val="single" w:sz="4" w:space="0" w:color="auto"/>
            </w:tcBorders>
            <w:vAlign w:val="center"/>
          </w:tcPr>
          <w:p w14:paraId="3606677A" w14:textId="46B99043" w:rsidR="00375001" w:rsidRPr="0069328B" w:rsidRDefault="00375001" w:rsidP="0011083C">
            <w:pPr>
              <w:jc w:val="center"/>
              <w:rPr>
                <w:color w:val="7F7F7F" w:themeColor="text1" w:themeTint="80"/>
                <w:sz w:val="16"/>
                <w:szCs w:val="16"/>
              </w:rPr>
            </w:pPr>
            <w:r w:rsidRPr="0069328B">
              <w:rPr>
                <w:sz w:val="16"/>
                <w:szCs w:val="16"/>
              </w:rPr>
              <w:t xml:space="preserve">FDA’s “threshold-based” validation approach for medical CFD models </w:t>
            </w:r>
            <w:sdt>
              <w:sdtPr>
                <w:rPr>
                  <w:color w:val="000000"/>
                  <w:sz w:val="16"/>
                  <w:szCs w:val="16"/>
                  <w14:textFill>
                    <w14:solidFill>
                      <w14:srgbClr w14:val="000000">
                        <w14:lumMod w14:val="50000"/>
                        <w14:lumOff w14:val="50000"/>
                      </w14:srgbClr>
                    </w14:solidFill>
                  </w14:textFill>
                </w:rPr>
                <w:tag w:val="MENDELEY_CITATION_v3_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"/>
                <w:id w:val="1782684838"/>
                <w:placeholder>
                  <w:docPart w:val="62917C860493467A95D60E4199186801"/>
                </w:placeholder>
              </w:sdtPr>
              <w:sdtContent>
                <w:r w:rsidRPr="00375001">
                  <w:rPr>
                    <w:color w:val="000000"/>
                    <w:sz w:val="16"/>
                    <w:szCs w:val="16"/>
                  </w:rPr>
                  <w:t>(Hariharan et al., 2017b)</w:t>
                </w:r>
              </w:sdtContent>
            </w:sdt>
            <w:r w:rsidRPr="0069328B">
              <w:rPr>
                <w:sz w:val="16"/>
                <w:szCs w:val="16"/>
              </w:rPr>
              <w:t>;</w:t>
            </w:r>
            <w:r w:rsidRPr="0069328B">
              <w:rPr>
                <w:color w:val="7F7F7F" w:themeColor="text1" w:themeTint="80"/>
                <w:sz w:val="16"/>
                <w:szCs w:val="16"/>
              </w:rPr>
              <w:t xml:space="preserve"> </w:t>
            </w:r>
            <w:r w:rsidRPr="0069328B">
              <w:rPr>
                <w:sz w:val="16"/>
                <w:szCs w:val="16"/>
              </w:rPr>
              <w:t xml:space="preserve">ASME V&amp;V 40 provides a structured risk-based acceptance approach </w:t>
            </w:r>
            <w:sdt>
              <w:sdtPr>
                <w:rPr>
                  <w:color w:val="000000"/>
                  <w:sz w:val="16"/>
                  <w:szCs w:val="16"/>
                  <w14:textFill>
                    <w14:solidFill>
                      <w14:srgbClr w14:val="000000">
                        <w14:lumMod w14:val="50000"/>
                        <w14:lumOff w14:val="50000"/>
                      </w14:srgbClr>
                    </w14:solidFill>
                  </w14:textFill>
                </w:rPr>
                <w:tag w:val="MENDELEY_CITATION_v3_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"/>
                <w:id w:val="-1636256185"/>
                <w:placeholder>
                  <w:docPart w:val="62917C860493467A95D60E4199186801"/>
                </w:placeholder>
              </w:sdtPr>
              <w:sdtContent>
                <w:r w:rsidRPr="00375001">
                  <w:rPr>
                    <w:color w:val="000000"/>
                    <w:sz w:val="16"/>
                    <w:szCs w:val="16"/>
                  </w:rPr>
                  <w:t>(Muhammad Jamil and Nathan Müller, n.d.)</w:t>
                </w:r>
              </w:sdtContent>
            </w:sdt>
            <w:r w:rsidRPr="0069328B">
              <w:rPr>
                <w:sz w:val="16"/>
                <w:szCs w:val="16"/>
              </w:rPr>
              <w:t>; Standard metrics: mean absolute error, RMS error, Bland-Altman analysis for biofluid devices</w:t>
            </w:r>
          </w:p>
          <w:p w14:paraId="2EBC8B10" w14:textId="77777777" w:rsidR="00375001" w:rsidRPr="0069328B" w:rsidRDefault="00375001" w:rsidP="0011083C">
            <w:pPr>
              <w:jc w:val="center"/>
              <w:rPr>
                <w:color w:val="7F7F7F" w:themeColor="text1" w:themeTint="80"/>
                <w:sz w:val="16"/>
                <w:szCs w:val="16"/>
              </w:rPr>
            </w:pPr>
          </w:p>
        </w:tc>
      </w:tr>
    </w:tbl>
    <w:p w14:paraId="52E6A668" w14:textId="5BC2DAA9" w:rsidR="00375001" w:rsidRDefault="00375001" w:rsidP="00375001">
      <w:pPr>
        <w:pStyle w:val="Heading1"/>
      </w:pPr>
      <w:r>
        <w:t>References</w:t>
      </w:r>
    </w:p>
    <w:sdt>
      <w:sdtPr>
        <w:rPr>
          <w:color w:val="000000"/>
        </w:rPr>
        <w:tag w:val="MENDELEY_BIBLIOGRAPHY"/>
        <w:id w:val="-379012962"/>
        <w:placeholder>
          <w:docPart w:val="DefaultPlaceholder_-1854013440"/>
        </w:placeholder>
      </w:sdtPr>
      <w:sdtContent>
        <w:p w14:paraId="3204AC08" w14:textId="77777777" w:rsidR="00375001" w:rsidRPr="00375001" w:rsidRDefault="00375001">
          <w:pPr>
            <w:autoSpaceDE w:val="0"/>
            <w:autoSpaceDN w:val="0"/>
            <w:ind w:hanging="480"/>
            <w:divId w:val="1995134195"/>
            <w:rPr>
              <w:rFonts w:eastAsia="Times New Roman"/>
              <w:color w:val="000000"/>
              <w:szCs w:val="24"/>
            </w:rPr>
          </w:pPr>
          <w:r w:rsidRPr="00375001">
            <w:rPr>
              <w:rFonts w:eastAsia="Times New Roman"/>
              <w:color w:val="000000"/>
            </w:rPr>
            <w:t xml:space="preserve">Ando, Y., Ta, H. P., Yen, D. P., Lee, S.-S., </w:t>
          </w:r>
          <w:proofErr w:type="spellStart"/>
          <w:r w:rsidRPr="00375001">
            <w:rPr>
              <w:rFonts w:eastAsia="Times New Roman"/>
              <w:color w:val="000000"/>
            </w:rPr>
            <w:t>Raola</w:t>
          </w:r>
          <w:proofErr w:type="spellEnd"/>
          <w:r w:rsidRPr="00375001">
            <w:rPr>
              <w:rFonts w:eastAsia="Times New Roman"/>
              <w:color w:val="000000"/>
            </w:rPr>
            <w:t xml:space="preserve">, S., and Shen, K. (2017). A Microdevice Platform Recapitulating Hypoxic Tumor Microenvironments. </w:t>
          </w:r>
          <w:r w:rsidRPr="00375001">
            <w:rPr>
              <w:rFonts w:eastAsia="Times New Roman"/>
              <w:i/>
              <w:iCs/>
              <w:color w:val="000000"/>
            </w:rPr>
            <w:t>Sci Rep</w:t>
          </w:r>
          <w:r w:rsidRPr="00375001">
            <w:rPr>
              <w:rFonts w:eastAsia="Times New Roman"/>
              <w:color w:val="000000"/>
            </w:rPr>
            <w:t xml:space="preserve"> 7, 15233. </w:t>
          </w:r>
          <w:proofErr w:type="spellStart"/>
          <w:r w:rsidRPr="00375001">
            <w:rPr>
              <w:rFonts w:eastAsia="Times New Roman"/>
              <w:color w:val="000000"/>
            </w:rPr>
            <w:t>doi</w:t>
          </w:r>
          <w:proofErr w:type="spellEnd"/>
          <w:r w:rsidRPr="00375001">
            <w:rPr>
              <w:rFonts w:eastAsia="Times New Roman"/>
              <w:color w:val="000000"/>
            </w:rPr>
            <w:t>: 10.1038/s41598-017-15583-3</w:t>
          </w:r>
        </w:p>
        <w:p w14:paraId="78486F7E" w14:textId="77777777" w:rsidR="00375001" w:rsidRPr="00375001" w:rsidRDefault="00375001">
          <w:pPr>
            <w:autoSpaceDE w:val="0"/>
            <w:autoSpaceDN w:val="0"/>
            <w:ind w:hanging="480"/>
            <w:divId w:val="365446291"/>
            <w:rPr>
              <w:rFonts w:eastAsia="Times New Roman"/>
              <w:color w:val="000000"/>
            </w:rPr>
          </w:pPr>
          <w:r w:rsidRPr="00375001">
            <w:rPr>
              <w:rFonts w:eastAsia="Times New Roman"/>
              <w:color w:val="000000"/>
            </w:rPr>
            <w:t>ASME (2009). Standard for Verification and Validation in Computational Fluid Dynamics and Heat Transfer (ASME V&amp;V 20-2009). New York.</w:t>
          </w:r>
        </w:p>
        <w:p w14:paraId="0DEA24A5" w14:textId="77777777" w:rsidR="00375001" w:rsidRPr="00375001" w:rsidRDefault="00375001">
          <w:pPr>
            <w:autoSpaceDE w:val="0"/>
            <w:autoSpaceDN w:val="0"/>
            <w:ind w:hanging="480"/>
            <w:divId w:val="748960348"/>
            <w:rPr>
              <w:rFonts w:eastAsia="Times New Roman"/>
              <w:color w:val="000000"/>
            </w:rPr>
          </w:pPr>
          <w:r w:rsidRPr="00375001">
            <w:rPr>
              <w:rFonts w:eastAsia="Times New Roman"/>
              <w:color w:val="000000"/>
            </w:rPr>
            <w:t>ASME (2018). Assessing Credibility of Computational Modelling through Verification and Validation: Application to Medical Devices (ASME V&amp;V 40-2018). New York.</w:t>
          </w:r>
        </w:p>
        <w:p w14:paraId="6A8C88C2" w14:textId="77777777" w:rsidR="00375001" w:rsidRPr="00375001" w:rsidRDefault="00375001">
          <w:pPr>
            <w:autoSpaceDE w:val="0"/>
            <w:autoSpaceDN w:val="0"/>
            <w:ind w:hanging="480"/>
            <w:divId w:val="2014067018"/>
            <w:rPr>
              <w:rFonts w:eastAsia="Times New Roman"/>
              <w:color w:val="000000"/>
            </w:rPr>
          </w:pPr>
          <w:r w:rsidRPr="00375001">
            <w:rPr>
              <w:rFonts w:eastAsia="Times New Roman"/>
              <w:color w:val="000000"/>
            </w:rPr>
            <w:t>FDA (2016). Reporting of Computational Modeling Studies in Medical Device Submissions. Silver Spring, MD. Available at: https://www.fda.gov/media/87586/download? (Accessed September 30, 2025).</w:t>
          </w:r>
        </w:p>
        <w:p w14:paraId="2C676ADF" w14:textId="77777777" w:rsidR="00375001" w:rsidRPr="00375001" w:rsidRDefault="00375001">
          <w:pPr>
            <w:autoSpaceDE w:val="0"/>
            <w:autoSpaceDN w:val="0"/>
            <w:ind w:hanging="480"/>
            <w:divId w:val="1397818442"/>
            <w:rPr>
              <w:rFonts w:eastAsia="Times New Roman"/>
              <w:color w:val="000000"/>
            </w:rPr>
          </w:pPr>
          <w:r w:rsidRPr="00375001">
            <w:rPr>
              <w:rFonts w:eastAsia="Times New Roman"/>
              <w:color w:val="000000"/>
            </w:rPr>
            <w:t>FDA (2023). Assessing the Credibility of Computational Modeling and Simulation in Medical Device Submissions. Silver Spring, MD. Available at: https://www.fda.gov/media/154985/download? (Accessed September 30, 2025).</w:t>
          </w:r>
        </w:p>
        <w:p w14:paraId="167BB22C" w14:textId="77777777" w:rsidR="00375001" w:rsidRPr="00375001" w:rsidRDefault="00375001">
          <w:pPr>
            <w:autoSpaceDE w:val="0"/>
            <w:autoSpaceDN w:val="0"/>
            <w:ind w:hanging="480"/>
            <w:divId w:val="431557148"/>
            <w:rPr>
              <w:rFonts w:eastAsia="Times New Roman"/>
              <w:color w:val="000000"/>
            </w:rPr>
          </w:pPr>
          <w:r w:rsidRPr="00375001">
            <w:rPr>
              <w:rFonts w:eastAsia="Times New Roman"/>
              <w:color w:val="000000"/>
            </w:rPr>
            <w:t>Guidance Document on Good In Vitro Method Practices (GIVIMP) (2018). Paris.</w:t>
          </w:r>
        </w:p>
        <w:p w14:paraId="226F0E90" w14:textId="77777777" w:rsidR="00375001" w:rsidRPr="00375001" w:rsidRDefault="00375001">
          <w:pPr>
            <w:autoSpaceDE w:val="0"/>
            <w:autoSpaceDN w:val="0"/>
            <w:ind w:hanging="480"/>
            <w:divId w:val="2092117684"/>
            <w:rPr>
              <w:rFonts w:eastAsia="Times New Roman"/>
              <w:color w:val="000000"/>
            </w:rPr>
          </w:pPr>
          <w:r w:rsidRPr="00375001">
            <w:rPr>
              <w:rFonts w:eastAsia="Times New Roman"/>
              <w:color w:val="000000"/>
            </w:rPr>
            <w:t xml:space="preserve">Hariharan, P., D’Souza, G. A., Horner, M., Morrison, T. M., Malinauskas, R. A., and Myers, M. R. (2017a). Use of the FDA nozzle model to illustrate validation techniques in computational fluid dynamics (CFD) simulations. </w:t>
          </w:r>
          <w:proofErr w:type="spellStart"/>
          <w:r w:rsidRPr="00375001">
            <w:rPr>
              <w:rFonts w:eastAsia="Times New Roman"/>
              <w:i/>
              <w:iCs/>
              <w:color w:val="000000"/>
            </w:rPr>
            <w:t>PLoS</w:t>
          </w:r>
          <w:proofErr w:type="spellEnd"/>
          <w:r w:rsidRPr="00375001">
            <w:rPr>
              <w:rFonts w:eastAsia="Times New Roman"/>
              <w:i/>
              <w:iCs/>
              <w:color w:val="000000"/>
            </w:rPr>
            <w:t xml:space="preserve"> One</w:t>
          </w:r>
          <w:r w:rsidRPr="00375001">
            <w:rPr>
              <w:rFonts w:eastAsia="Times New Roman"/>
              <w:color w:val="000000"/>
            </w:rPr>
            <w:t xml:space="preserve"> 12, e0178749. </w:t>
          </w:r>
          <w:proofErr w:type="spellStart"/>
          <w:r w:rsidRPr="00375001">
            <w:rPr>
              <w:rFonts w:eastAsia="Times New Roman"/>
              <w:color w:val="000000"/>
            </w:rPr>
            <w:t>doi</w:t>
          </w:r>
          <w:proofErr w:type="spellEnd"/>
          <w:r w:rsidRPr="00375001">
            <w:rPr>
              <w:rFonts w:eastAsia="Times New Roman"/>
              <w:color w:val="000000"/>
            </w:rPr>
            <w:t>: 10.1371/journal.pone.0178749</w:t>
          </w:r>
        </w:p>
        <w:p w14:paraId="198E7638" w14:textId="77777777" w:rsidR="00375001" w:rsidRPr="00375001" w:rsidRDefault="00375001">
          <w:pPr>
            <w:autoSpaceDE w:val="0"/>
            <w:autoSpaceDN w:val="0"/>
            <w:ind w:hanging="480"/>
            <w:divId w:val="462312143"/>
            <w:rPr>
              <w:rFonts w:eastAsia="Times New Roman"/>
              <w:color w:val="000000"/>
            </w:rPr>
          </w:pPr>
          <w:r w:rsidRPr="00375001">
            <w:rPr>
              <w:rFonts w:eastAsia="Times New Roman"/>
              <w:color w:val="000000"/>
            </w:rPr>
            <w:t xml:space="preserve">Hariharan, P., D’Souza, G. A., Horner, M., Morrison, T. M., Malinauskas, R. A., and Myers, M. R. (2017b). Use of the FDA nozzle model to illustrate validation techniques in computational fluid dynamics (CFD) simulations. </w:t>
          </w:r>
          <w:proofErr w:type="spellStart"/>
          <w:r w:rsidRPr="00375001">
            <w:rPr>
              <w:rFonts w:eastAsia="Times New Roman"/>
              <w:i/>
              <w:iCs/>
              <w:color w:val="000000"/>
            </w:rPr>
            <w:t>PLoS</w:t>
          </w:r>
          <w:proofErr w:type="spellEnd"/>
          <w:r w:rsidRPr="00375001">
            <w:rPr>
              <w:rFonts w:eastAsia="Times New Roman"/>
              <w:i/>
              <w:iCs/>
              <w:color w:val="000000"/>
            </w:rPr>
            <w:t xml:space="preserve"> One</w:t>
          </w:r>
          <w:r w:rsidRPr="00375001">
            <w:rPr>
              <w:rFonts w:eastAsia="Times New Roman"/>
              <w:color w:val="000000"/>
            </w:rPr>
            <w:t xml:space="preserve"> 12, e0178749. </w:t>
          </w:r>
          <w:proofErr w:type="spellStart"/>
          <w:r w:rsidRPr="00375001">
            <w:rPr>
              <w:rFonts w:eastAsia="Times New Roman"/>
              <w:color w:val="000000"/>
            </w:rPr>
            <w:t>doi</w:t>
          </w:r>
          <w:proofErr w:type="spellEnd"/>
          <w:r w:rsidRPr="00375001">
            <w:rPr>
              <w:rFonts w:eastAsia="Times New Roman"/>
              <w:color w:val="000000"/>
            </w:rPr>
            <w:t>: 10.1371/journal.pone.0178749</w:t>
          </w:r>
        </w:p>
        <w:p w14:paraId="0959F5E6" w14:textId="77777777" w:rsidR="00375001" w:rsidRPr="00375001" w:rsidRDefault="00375001">
          <w:pPr>
            <w:autoSpaceDE w:val="0"/>
            <w:autoSpaceDN w:val="0"/>
            <w:ind w:hanging="480"/>
            <w:divId w:val="1697657685"/>
            <w:rPr>
              <w:rFonts w:eastAsia="Times New Roman"/>
              <w:color w:val="000000"/>
            </w:rPr>
          </w:pPr>
          <w:r w:rsidRPr="00375001">
            <w:rPr>
              <w:rFonts w:eastAsia="Times New Roman"/>
              <w:color w:val="000000"/>
            </w:rPr>
            <w:t>Marturano-</w:t>
          </w:r>
          <w:proofErr w:type="spellStart"/>
          <w:r w:rsidRPr="00375001">
            <w:rPr>
              <w:rFonts w:eastAsia="Times New Roman"/>
              <w:color w:val="000000"/>
            </w:rPr>
            <w:t>Kruik</w:t>
          </w:r>
          <w:proofErr w:type="spellEnd"/>
          <w:r w:rsidRPr="00375001">
            <w:rPr>
              <w:rFonts w:eastAsia="Times New Roman"/>
              <w:color w:val="000000"/>
            </w:rPr>
            <w:t xml:space="preserve">, A., Nava, M. M., Yeager, K., </w:t>
          </w:r>
          <w:proofErr w:type="spellStart"/>
          <w:r w:rsidRPr="00375001">
            <w:rPr>
              <w:rFonts w:eastAsia="Times New Roman"/>
              <w:color w:val="000000"/>
            </w:rPr>
            <w:t>Chramiec</w:t>
          </w:r>
          <w:proofErr w:type="spellEnd"/>
          <w:r w:rsidRPr="00375001">
            <w:rPr>
              <w:rFonts w:eastAsia="Times New Roman"/>
              <w:color w:val="000000"/>
            </w:rPr>
            <w:t xml:space="preserve">, A., Hao, L., Robinson, S., et al. (2018). Human bone perivascular niche-on-a-chip for studying metastatic colonization. </w:t>
          </w:r>
          <w:r w:rsidRPr="00375001">
            <w:rPr>
              <w:rFonts w:eastAsia="Times New Roman"/>
              <w:i/>
              <w:iCs/>
              <w:color w:val="000000"/>
            </w:rPr>
            <w:t>Proceedings of the National Academy of Sciences</w:t>
          </w:r>
          <w:r w:rsidRPr="00375001">
            <w:rPr>
              <w:rFonts w:eastAsia="Times New Roman"/>
              <w:color w:val="000000"/>
            </w:rPr>
            <w:t xml:space="preserve"> 115, 1256–1261. </w:t>
          </w:r>
          <w:proofErr w:type="spellStart"/>
          <w:r w:rsidRPr="00375001">
            <w:rPr>
              <w:rFonts w:eastAsia="Times New Roman"/>
              <w:color w:val="000000"/>
            </w:rPr>
            <w:t>doi</w:t>
          </w:r>
          <w:proofErr w:type="spellEnd"/>
          <w:r w:rsidRPr="00375001">
            <w:rPr>
              <w:rFonts w:eastAsia="Times New Roman"/>
              <w:color w:val="000000"/>
            </w:rPr>
            <w:t>: 10.1073/pnas.1714282115</w:t>
          </w:r>
        </w:p>
        <w:p w14:paraId="5B3B2AD5" w14:textId="77777777" w:rsidR="00375001" w:rsidRPr="00375001" w:rsidRDefault="00375001">
          <w:pPr>
            <w:autoSpaceDE w:val="0"/>
            <w:autoSpaceDN w:val="0"/>
            <w:ind w:hanging="480"/>
            <w:divId w:val="1100644024"/>
            <w:rPr>
              <w:rFonts w:eastAsia="Times New Roman"/>
              <w:color w:val="000000"/>
            </w:rPr>
          </w:pPr>
          <w:r w:rsidRPr="00375001">
            <w:rPr>
              <w:rFonts w:eastAsia="Times New Roman"/>
              <w:color w:val="000000"/>
            </w:rPr>
            <w:t xml:space="preserve">Muhammad Jamil, and Nathan Müller (n.d.). Computational Modelling &amp; Simulation in Medical Device Development. </w:t>
          </w:r>
          <w:r w:rsidRPr="00375001">
            <w:rPr>
              <w:rFonts w:eastAsia="Times New Roman"/>
              <w:i/>
              <w:iCs/>
              <w:color w:val="000000"/>
            </w:rPr>
            <w:t>Starfish Medical</w:t>
          </w:r>
          <w:r w:rsidRPr="00375001">
            <w:rPr>
              <w:rFonts w:eastAsia="Times New Roman"/>
              <w:color w:val="000000"/>
            </w:rPr>
            <w:t>. Available at: https://starfishmedical.com/resource/computational-modelling-simulation-medical-device-development/? (Accessed September 30, 2025).</w:t>
          </w:r>
        </w:p>
        <w:p w14:paraId="07E702A7" w14:textId="77777777" w:rsidR="00375001" w:rsidRPr="00375001" w:rsidRDefault="00375001">
          <w:pPr>
            <w:autoSpaceDE w:val="0"/>
            <w:autoSpaceDN w:val="0"/>
            <w:ind w:hanging="480"/>
            <w:divId w:val="1548491766"/>
            <w:rPr>
              <w:rFonts w:eastAsia="Times New Roman"/>
              <w:color w:val="000000"/>
            </w:rPr>
          </w:pPr>
          <w:r w:rsidRPr="00375001">
            <w:rPr>
              <w:rFonts w:eastAsia="Times New Roman"/>
              <w:color w:val="000000"/>
            </w:rPr>
            <w:t xml:space="preserve">OECD (2021). Guidance Document on the </w:t>
          </w:r>
          <w:proofErr w:type="spellStart"/>
          <w:r w:rsidRPr="00375001">
            <w:rPr>
              <w:rFonts w:eastAsia="Times New Roman"/>
              <w:color w:val="000000"/>
            </w:rPr>
            <w:t>Characterisation</w:t>
          </w:r>
          <w:proofErr w:type="spellEnd"/>
          <w:r w:rsidRPr="00375001">
            <w:rPr>
              <w:rFonts w:eastAsia="Times New Roman"/>
              <w:color w:val="000000"/>
            </w:rPr>
            <w:t>, Validation and Reporting of Physiologically Based Kinetic (PBK) Models for Regulatory Purposes. Paris. Available at: https://www.oecd.org/content/dam/oecd/en/publications/reports/2021/02/guidance-document-on-the-characterisation-validation-and-reporting-of-physiologically-based-kinetic-pbk-models-for-regulatory-purposes_670da2f4/d0de241f-en.pdf (Accessed September 30, 2025).</w:t>
          </w:r>
        </w:p>
        <w:p w14:paraId="445D68E8" w14:textId="77777777" w:rsidR="00375001" w:rsidRPr="00375001" w:rsidRDefault="00375001">
          <w:pPr>
            <w:autoSpaceDE w:val="0"/>
            <w:autoSpaceDN w:val="0"/>
            <w:ind w:hanging="480"/>
            <w:divId w:val="1409352306"/>
            <w:rPr>
              <w:rFonts w:eastAsia="Times New Roman"/>
              <w:color w:val="000000"/>
            </w:rPr>
          </w:pPr>
          <w:r w:rsidRPr="00375001">
            <w:rPr>
              <w:rFonts w:eastAsia="Times New Roman"/>
              <w:color w:val="000000"/>
            </w:rPr>
            <w:t xml:space="preserve">Rexius-Hall, M. L., Rehman, J., and Eddington, D. T. (2017). A microfluidic oxygen gradient demonstrates differential activation of the hypoxia-regulated transcription factors HIF-1α and HIF-2α. </w:t>
          </w:r>
          <w:r w:rsidRPr="00375001">
            <w:rPr>
              <w:rFonts w:eastAsia="Times New Roman"/>
              <w:i/>
              <w:iCs/>
              <w:color w:val="000000"/>
            </w:rPr>
            <w:t>Integrative Biology</w:t>
          </w:r>
          <w:r w:rsidRPr="00375001">
            <w:rPr>
              <w:rFonts w:eastAsia="Times New Roman"/>
              <w:color w:val="000000"/>
            </w:rPr>
            <w:t xml:space="preserve"> 9, 742–750. </w:t>
          </w:r>
          <w:proofErr w:type="spellStart"/>
          <w:r w:rsidRPr="00375001">
            <w:rPr>
              <w:rFonts w:eastAsia="Times New Roman"/>
              <w:color w:val="000000"/>
            </w:rPr>
            <w:t>doi</w:t>
          </w:r>
          <w:proofErr w:type="spellEnd"/>
          <w:r w:rsidRPr="00375001">
            <w:rPr>
              <w:rFonts w:eastAsia="Times New Roman"/>
              <w:color w:val="000000"/>
            </w:rPr>
            <w:t>: 10.1039/C7IB00099E</w:t>
          </w:r>
        </w:p>
        <w:p w14:paraId="4E8E5483" w14:textId="77777777" w:rsidR="00375001" w:rsidRPr="00375001" w:rsidRDefault="00375001">
          <w:pPr>
            <w:autoSpaceDE w:val="0"/>
            <w:autoSpaceDN w:val="0"/>
            <w:ind w:hanging="480"/>
            <w:divId w:val="1826388486"/>
            <w:rPr>
              <w:rFonts w:eastAsia="Times New Roman"/>
              <w:color w:val="000000"/>
            </w:rPr>
          </w:pPr>
          <w:r w:rsidRPr="00375001">
            <w:rPr>
              <w:rFonts w:eastAsia="Times New Roman"/>
              <w:color w:val="000000"/>
            </w:rPr>
            <w:t>Richard G. Hills, David C. Maniaci, and Jonathan W. Naughton (2015). V&amp;V Framework (SAND2015-7455). Albuquerque, NM &amp; Livermore, CA.</w:t>
          </w:r>
        </w:p>
        <w:p w14:paraId="454D0353" w14:textId="77777777" w:rsidR="00375001" w:rsidRPr="00375001" w:rsidRDefault="00375001">
          <w:pPr>
            <w:autoSpaceDE w:val="0"/>
            <w:autoSpaceDN w:val="0"/>
            <w:ind w:hanging="480"/>
            <w:divId w:val="719211329"/>
            <w:rPr>
              <w:rFonts w:eastAsia="Times New Roman"/>
              <w:color w:val="000000"/>
            </w:rPr>
          </w:pPr>
          <w:r w:rsidRPr="00375001">
            <w:rPr>
              <w:rFonts w:eastAsia="Times New Roman"/>
              <w:color w:val="000000"/>
            </w:rPr>
            <w:lastRenderedPageBreak/>
            <w:t xml:space="preserve">Rito Pereira, M., Silva, G., </w:t>
          </w:r>
          <w:proofErr w:type="spellStart"/>
          <w:r w:rsidRPr="00375001">
            <w:rPr>
              <w:rFonts w:eastAsia="Times New Roman"/>
              <w:color w:val="000000"/>
            </w:rPr>
            <w:t>Semiao</w:t>
          </w:r>
          <w:proofErr w:type="spellEnd"/>
          <w:r w:rsidRPr="00375001">
            <w:rPr>
              <w:rFonts w:eastAsia="Times New Roman"/>
              <w:color w:val="000000"/>
            </w:rPr>
            <w:t xml:space="preserve">, V., Silverio, V., Martins, J. N. R., Pascoal‐Faria, P., et al. (2022). Experimental validation of a computational fluid dynamics model using micro‐particle image velocimetry of the irrigation flow in confluent canals. </w:t>
          </w:r>
          <w:r w:rsidRPr="00375001">
            <w:rPr>
              <w:rFonts w:eastAsia="Times New Roman"/>
              <w:i/>
              <w:iCs/>
              <w:color w:val="000000"/>
            </w:rPr>
            <w:t xml:space="preserve">Int </w:t>
          </w:r>
          <w:proofErr w:type="spellStart"/>
          <w:r w:rsidRPr="00375001">
            <w:rPr>
              <w:rFonts w:eastAsia="Times New Roman"/>
              <w:i/>
              <w:iCs/>
              <w:color w:val="000000"/>
            </w:rPr>
            <w:t>Endod</w:t>
          </w:r>
          <w:proofErr w:type="spellEnd"/>
          <w:r w:rsidRPr="00375001">
            <w:rPr>
              <w:rFonts w:eastAsia="Times New Roman"/>
              <w:i/>
              <w:iCs/>
              <w:color w:val="000000"/>
            </w:rPr>
            <w:t xml:space="preserve"> J</w:t>
          </w:r>
          <w:r w:rsidRPr="00375001">
            <w:rPr>
              <w:rFonts w:eastAsia="Times New Roman"/>
              <w:color w:val="000000"/>
            </w:rPr>
            <w:t xml:space="preserve"> 55, 1394–1403. </w:t>
          </w:r>
          <w:proofErr w:type="spellStart"/>
          <w:r w:rsidRPr="00375001">
            <w:rPr>
              <w:rFonts w:eastAsia="Times New Roman"/>
              <w:color w:val="000000"/>
            </w:rPr>
            <w:t>doi</w:t>
          </w:r>
          <w:proofErr w:type="spellEnd"/>
          <w:r w:rsidRPr="00375001">
            <w:rPr>
              <w:rFonts w:eastAsia="Times New Roman"/>
              <w:color w:val="000000"/>
            </w:rPr>
            <w:t>: 10.1111/iej.13827</w:t>
          </w:r>
        </w:p>
        <w:p w14:paraId="368569E9" w14:textId="77777777" w:rsidR="00375001" w:rsidRPr="00375001" w:rsidRDefault="00375001">
          <w:pPr>
            <w:autoSpaceDE w:val="0"/>
            <w:autoSpaceDN w:val="0"/>
            <w:ind w:hanging="480"/>
            <w:divId w:val="10567674"/>
            <w:rPr>
              <w:rFonts w:eastAsia="Times New Roman"/>
              <w:color w:val="000000"/>
            </w:rPr>
          </w:pPr>
          <w:r w:rsidRPr="00375001">
            <w:rPr>
              <w:rFonts w:eastAsia="Times New Roman"/>
              <w:color w:val="000000"/>
            </w:rPr>
            <w:t xml:space="preserve">Silva, G., Leal, N., and </w:t>
          </w:r>
          <w:proofErr w:type="spellStart"/>
          <w:r w:rsidRPr="00375001">
            <w:rPr>
              <w:rFonts w:eastAsia="Times New Roman"/>
              <w:color w:val="000000"/>
            </w:rPr>
            <w:t>Semiao</w:t>
          </w:r>
          <w:proofErr w:type="spellEnd"/>
          <w:r w:rsidRPr="00375001">
            <w:rPr>
              <w:rFonts w:eastAsia="Times New Roman"/>
              <w:color w:val="000000"/>
            </w:rPr>
            <w:t xml:space="preserve">, V. (2008). Micro-PIV and CFD characterization of flows in a microchannel: Velocity profiles, surface roughness and Poiseuille numbers. </w:t>
          </w:r>
          <w:r w:rsidRPr="00375001">
            <w:rPr>
              <w:rFonts w:eastAsia="Times New Roman"/>
              <w:i/>
              <w:iCs/>
              <w:color w:val="000000"/>
            </w:rPr>
            <w:t>Int J Heat Fluid Flow</w:t>
          </w:r>
          <w:r w:rsidRPr="00375001">
            <w:rPr>
              <w:rFonts w:eastAsia="Times New Roman"/>
              <w:color w:val="000000"/>
            </w:rPr>
            <w:t xml:space="preserve"> 29, 1211–1220. </w:t>
          </w:r>
          <w:proofErr w:type="spellStart"/>
          <w:r w:rsidRPr="00375001">
            <w:rPr>
              <w:rFonts w:eastAsia="Times New Roman"/>
              <w:color w:val="000000"/>
            </w:rPr>
            <w:t>doi</w:t>
          </w:r>
          <w:proofErr w:type="spellEnd"/>
          <w:r w:rsidRPr="00375001">
            <w:rPr>
              <w:rFonts w:eastAsia="Times New Roman"/>
              <w:color w:val="000000"/>
            </w:rPr>
            <w:t>: 10.1016/j.ijheatfluidflow.2008.03.013</w:t>
          </w:r>
        </w:p>
        <w:p w14:paraId="373CD28E" w14:textId="77777777" w:rsidR="00375001" w:rsidRPr="00375001" w:rsidRDefault="00375001">
          <w:pPr>
            <w:autoSpaceDE w:val="0"/>
            <w:autoSpaceDN w:val="0"/>
            <w:ind w:hanging="480"/>
            <w:divId w:val="434447319"/>
            <w:rPr>
              <w:rFonts w:eastAsia="Times New Roman"/>
              <w:color w:val="000000"/>
            </w:rPr>
          </w:pPr>
          <w:r w:rsidRPr="00375001">
            <w:rPr>
              <w:rFonts w:eastAsia="Times New Roman"/>
              <w:color w:val="000000"/>
            </w:rPr>
            <w:t xml:space="preserve">Tonon, F., Giobbe, G. G., Zambon, A., </w:t>
          </w:r>
          <w:proofErr w:type="spellStart"/>
          <w:r w:rsidRPr="00375001">
            <w:rPr>
              <w:rFonts w:eastAsia="Times New Roman"/>
              <w:color w:val="000000"/>
            </w:rPr>
            <w:t>Luni</w:t>
          </w:r>
          <w:proofErr w:type="spellEnd"/>
          <w:r w:rsidRPr="00375001">
            <w:rPr>
              <w:rFonts w:eastAsia="Times New Roman"/>
              <w:color w:val="000000"/>
            </w:rPr>
            <w:t xml:space="preserve">, C., Gagliano, O., Floreani, A., et al. (2019). In vitro metabolic zonation through oxygen gradient on a chip. </w:t>
          </w:r>
          <w:r w:rsidRPr="00375001">
            <w:rPr>
              <w:rFonts w:eastAsia="Times New Roman"/>
              <w:i/>
              <w:iCs/>
              <w:color w:val="000000"/>
            </w:rPr>
            <w:t>Sci Rep</w:t>
          </w:r>
          <w:r w:rsidRPr="00375001">
            <w:rPr>
              <w:rFonts w:eastAsia="Times New Roman"/>
              <w:color w:val="000000"/>
            </w:rPr>
            <w:t xml:space="preserve"> 9, 13557. </w:t>
          </w:r>
          <w:proofErr w:type="spellStart"/>
          <w:r w:rsidRPr="00375001">
            <w:rPr>
              <w:rFonts w:eastAsia="Times New Roman"/>
              <w:color w:val="000000"/>
            </w:rPr>
            <w:t>doi</w:t>
          </w:r>
          <w:proofErr w:type="spellEnd"/>
          <w:r w:rsidRPr="00375001">
            <w:rPr>
              <w:rFonts w:eastAsia="Times New Roman"/>
              <w:color w:val="000000"/>
            </w:rPr>
            <w:t>: 10.1038/s41598-019-49412-6</w:t>
          </w:r>
        </w:p>
        <w:p w14:paraId="31B09A07" w14:textId="3366734B" w:rsidR="00375001" w:rsidRPr="00375001" w:rsidRDefault="00375001" w:rsidP="00375001">
          <w:r w:rsidRPr="00375001">
            <w:rPr>
              <w:rFonts w:eastAsia="Times New Roman"/>
              <w:color w:val="000000"/>
            </w:rPr>
            <w:t> </w:t>
          </w:r>
        </w:p>
      </w:sdtContent>
    </w:sdt>
    <w:p w14:paraId="58F1AED1" w14:textId="77777777" w:rsidR="00DE23E8" w:rsidRPr="001549D3" w:rsidRDefault="00DE23E8" w:rsidP="00654E8F">
      <w:pPr>
        <w:spacing w:before="240"/>
      </w:pPr>
    </w:p>
    <w:sectPr w:rsidR="00DE23E8" w:rsidRPr="001549D3" w:rsidSect="0093429D">
      <w:headerReference w:type="even" r:id="rId12"/>
      <w:footerReference w:type="even" r:id="rId13"/>
      <w:footerReference w:type="default" r:id="rId14"/>
      <w:headerReference w:type="first" r:id="rId15"/>
      <w:pgSz w:w="12240" w:h="15840"/>
      <w:pgMar w:top="1138" w:right="1181" w:bottom="1138" w:left="128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AD8FC" w14:textId="77777777" w:rsidR="003D2D47" w:rsidRDefault="003D2D47" w:rsidP="00117666">
      <w:pPr>
        <w:spacing w:after="0"/>
      </w:pPr>
      <w:r>
        <w:separator/>
      </w:r>
    </w:p>
  </w:endnote>
  <w:endnote w:type="continuationSeparator" w:id="0">
    <w:p w14:paraId="68A94BCB" w14:textId="77777777" w:rsidR="003D2D47" w:rsidRDefault="003D2D47" w:rsidP="001176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4AB28" w14:textId="77777777" w:rsidR="00370D12" w:rsidRPr="00577C4C" w:rsidRDefault="00C52A7B">
    <w:pPr>
      <w:rPr>
        <w:color w:val="C00000"/>
        <w:szCs w:val="24"/>
      </w:rPr>
    </w:pPr>
    <w:r>
      <w:rPr>
        <w:noProof/>
        <w:lang w:val="en-GB" w:eastAsia="en-GB"/>
      </w:rPr>
      <mc:AlternateContent>
        <mc:Choice Requires="wps">
          <w:drawing>
            <wp:anchor distT="0" distB="0" distL="114300" distR="114300" simplePos="0" relativeHeight="251659264" behindDoc="0" locked="0" layoutInCell="1" allowOverlap="1" wp14:anchorId="00A152CD" wp14:editId="47F23114">
              <wp:simplePos x="0" y="0"/>
              <wp:positionH relativeFrom="margin">
                <wp:align>right</wp:align>
              </wp:positionH>
              <wp:positionV relativeFrom="bottomMargin">
                <wp:align>top</wp:align>
              </wp:positionV>
              <wp:extent cx="1508760" cy="395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4D054D26" w14:textId="77777777" w:rsidR="00370D12" w:rsidRPr="00577C4C" w:rsidRDefault="00C52A7B">
                          <w:pP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2B4A57">
                            <w:rPr>
                              <w:noProof/>
                              <w:color w:val="000000" w:themeColor="text1"/>
                              <w:szCs w:val="40"/>
                            </w:rPr>
                            <w:t>2</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0A152CD" id="_x0000_t202" coordsize="21600,21600" o:spt="202" path="m,l,21600r21600,l21600,xe">
              <v:stroke joinstyle="miter"/>
              <v:path gradientshapeok="t" o:connecttype="rect"/>
            </v:shapetype>
            <v:shape id="Text Box 1"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" filled="f" stroked="f" strokeweight=".5pt">
              <v:textbox style="mso-fit-shape-to-text:t">
                <w:txbxContent>
                  <w:p w14:paraId="4D054D26" w14:textId="77777777" w:rsidR="00370D12" w:rsidRPr="00577C4C" w:rsidRDefault="00C52A7B">
                    <w:pP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2B4A57">
                      <w:rPr>
                        <w:noProof/>
                        <w:color w:val="000000" w:themeColor="text1"/>
                        <w:szCs w:val="40"/>
                      </w:rPr>
                      <w:t>2</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FF27" w14:textId="77777777" w:rsidR="00370D12" w:rsidRPr="00577C4C" w:rsidRDefault="00C52A7B">
    <w:pPr>
      <w:rPr>
        <w:b/>
        <w:sz w:val="20"/>
        <w:szCs w:val="24"/>
      </w:rPr>
    </w:pPr>
    <w:r>
      <w:rPr>
        <w:noProof/>
        <w:lang w:val="en-GB" w:eastAsia="en-GB"/>
      </w:rPr>
      <mc:AlternateContent>
        <mc:Choice Requires="wps">
          <w:drawing>
            <wp:anchor distT="0" distB="0" distL="114300" distR="114300" simplePos="0" relativeHeight="251646976" behindDoc="0" locked="0" layoutInCell="1" allowOverlap="1" wp14:anchorId="3151A55C" wp14:editId="2441783D">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085E15EB" w14:textId="77777777" w:rsidR="00370D12" w:rsidRPr="00577C4C" w:rsidRDefault="00C52A7B">
                          <w:pP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994A3D">
                            <w:rPr>
                              <w:noProof/>
                              <w:color w:val="000000" w:themeColor="text1"/>
                              <w:szCs w:val="40"/>
                            </w:rPr>
                            <w:t>3</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151A55C" id="_x0000_t202" coordsize="21600,21600" o:spt="202" path="m,l,21600r21600,l21600,xe">
              <v:stroke joinstyle="miter"/>
              <v:path gradientshapeok="t" o:connecttype="rect"/>
            </v:shapetype>
            <v:shape id="Text Box 56" o:spid="_x0000_s1027" type="#_x0000_t202" style="position:absolute;margin-left:67.6pt;margin-top:0;width:118.8pt;height:31.15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" filled="f" stroked="f" strokeweight=".5pt">
              <v:textbox style="mso-fit-shape-to-text:t">
                <w:txbxContent>
                  <w:p w14:paraId="085E15EB" w14:textId="77777777" w:rsidR="00370D12" w:rsidRPr="00577C4C" w:rsidRDefault="00C52A7B">
                    <w:pP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994A3D">
                      <w:rPr>
                        <w:noProof/>
                        <w:color w:val="000000" w:themeColor="text1"/>
                        <w:szCs w:val="40"/>
                      </w:rPr>
                      <w:t>3</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B35AC" w14:textId="77777777" w:rsidR="003D2D47" w:rsidRDefault="003D2D47" w:rsidP="00117666">
      <w:pPr>
        <w:spacing w:after="0"/>
      </w:pPr>
      <w:r>
        <w:separator/>
      </w:r>
    </w:p>
  </w:footnote>
  <w:footnote w:type="continuationSeparator" w:id="0">
    <w:p w14:paraId="6A0AA9D1" w14:textId="77777777" w:rsidR="003D2D47" w:rsidRDefault="003D2D47" w:rsidP="001176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1EDBA" w14:textId="77777777" w:rsidR="00370D12" w:rsidRPr="009151AA" w:rsidRDefault="00C52A7B">
    <w:pPr>
      <w:rPr>
        <w:rFonts w:cs="Times New Roman"/>
      </w:rPr>
    </w:pPr>
    <w:r w:rsidRPr="009151AA">
      <w:rPr>
        <w:rFonts w:cs="Times New Roman"/>
      </w:rPr>
      <w:ptab w:relativeTo="margin" w:alignment="center" w:leader="none"/>
    </w:r>
    <w:r w:rsidRPr="009151AA">
      <w:rPr>
        <w:rFonts w:cs="Times New Roman"/>
      </w:rPr>
      <w:ptab w:relativeTo="margin" w:alignment="right" w:leader="none"/>
    </w:r>
    <w:r w:rsidR="001549D3" w:rsidRPr="009151AA">
      <w:rPr>
        <w:rFonts w:cs="Times New Roman"/>
      </w:rPr>
      <w:t>Supplementary Material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1A5B" w14:textId="77777777" w:rsidR="00370D12" w:rsidRDefault="0093429D" w:rsidP="0093429D">
    <w:r w:rsidRPr="005A1D84">
      <w:rPr>
        <w:b/>
        <w:noProof/>
        <w:color w:val="A6A6A6" w:themeColor="background1" w:themeShade="A6"/>
        <w:lang w:val="en-GB" w:eastAsia="en-GB"/>
      </w:rPr>
      <w:drawing>
        <wp:inline distT="0" distB="0" distL="0" distR="0" wp14:anchorId="7EAE9060" wp14:editId="09E5B960">
          <wp:extent cx="1382534" cy="497091"/>
          <wp:effectExtent l="0" t="0" r="0" b="0"/>
          <wp:docPr id="7" name="Picture 7" descr="C:\Users\Elaine.Scott\Documents\LaTex\____TEST____Frontiers_LaTeX_Templates_V2.5\Frontiers LaTeX (Science, Health and Engineering) V2.5 - with Supplementary material (V1.2)\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e.Scott\Documents\LaTex\____TEST____Frontiers_LaTeX_Templates_V2.5\Frontiers LaTeX (Science, Health and Engineering) V2.5 - with Supplementary material (V1.2)\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4909" cy="551877"/>
                  </a:xfrm>
                  <a:prstGeom prst="rect">
                    <a:avLst/>
                  </a:prstGeom>
                  <a:noFill/>
                  <a:ln>
                    <a:noFill/>
                  </a:ln>
                </pic:spPr>
              </pic:pic>
            </a:graphicData>
          </a:graphic>
        </wp:inline>
      </w:drawing>
    </w:r>
    <w:r w:rsidR="00C52A7B" w:rsidRPr="007E3148">
      <w:rPr>
        <w:b/>
      </w:rPr>
      <w:ptab w:relativeTo="margin" w:alignment="center" w:leader="none"/>
    </w:r>
    <w:r w:rsidR="00C52A7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7666"/>
    <w:multiLevelType w:val="multilevel"/>
    <w:tmpl w:val="615EAD26"/>
    <w:lvl w:ilvl="0">
      <w:start w:val="1"/>
      <w:numFmt w:val="decimal"/>
      <w:lvlText w:val="%1."/>
      <w:lvlJc w:val="left"/>
      <w:pPr>
        <w:ind w:left="0" w:firstLine="0"/>
      </w:pPr>
      <w:rPr>
        <w:rFonts w:hint="default"/>
        <w:b/>
        <w:lang w:val="en-GB"/>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0601A"/>
    <w:multiLevelType w:val="multilevel"/>
    <w:tmpl w:val="2D740DBE"/>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567"/>
        </w:tabs>
        <w:ind w:left="567" w:hanging="567"/>
      </w:pPr>
      <w:rPr>
        <w:rFonts w:hint="default"/>
      </w:rPr>
    </w:lvl>
    <w:lvl w:ilvl="3">
      <w:start w:val="1"/>
      <w:numFmt w:val="decimal"/>
      <w:pStyle w:val="Heading4"/>
      <w:lvlText w:val="%1.%2.%3.%4"/>
      <w:lvlJc w:val="left"/>
      <w:pPr>
        <w:tabs>
          <w:tab w:val="num" w:pos="567"/>
        </w:tabs>
        <w:ind w:left="567" w:hanging="567"/>
      </w:pPr>
      <w:rPr>
        <w:rFonts w:hint="default"/>
      </w:rPr>
    </w:lvl>
    <w:lvl w:ilvl="4">
      <w:start w:val="1"/>
      <w:numFmt w:val="decimal"/>
      <w:pStyle w:val="Heading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3" w15:restartNumberingAfterBreak="0">
    <w:nsid w:val="225305B5"/>
    <w:multiLevelType w:val="hybridMultilevel"/>
    <w:tmpl w:val="4F8C24FA"/>
    <w:lvl w:ilvl="0" w:tplc="A9DCD71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173C1D"/>
    <w:multiLevelType w:val="multilevel"/>
    <w:tmpl w:val="61DCC3B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num w:numId="1" w16cid:durableId="1821115517">
    <w:abstractNumId w:val="0"/>
  </w:num>
  <w:num w:numId="2" w16cid:durableId="1683165481">
    <w:abstractNumId w:val="4"/>
  </w:num>
  <w:num w:numId="3" w16cid:durableId="615480040">
    <w:abstractNumId w:val="1"/>
  </w:num>
  <w:num w:numId="4" w16cid:durableId="1566183234">
    <w:abstractNumId w:val="5"/>
  </w:num>
  <w:num w:numId="5" w16cid:durableId="18077027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9223692">
    <w:abstractNumId w:val="3"/>
  </w:num>
  <w:num w:numId="7" w16cid:durableId="1359550598">
    <w:abstractNumId w:val="6"/>
  </w:num>
  <w:num w:numId="8" w16cid:durableId="1559510671">
    <w:abstractNumId w:val="6"/>
  </w:num>
  <w:num w:numId="9" w16cid:durableId="1734543462">
    <w:abstractNumId w:val="6"/>
  </w:num>
  <w:num w:numId="10" w16cid:durableId="708839681">
    <w:abstractNumId w:val="6"/>
  </w:num>
  <w:num w:numId="11" w16cid:durableId="2046978920">
    <w:abstractNumId w:val="6"/>
  </w:num>
  <w:num w:numId="12" w16cid:durableId="2124614653">
    <w:abstractNumId w:val="6"/>
  </w:num>
  <w:num w:numId="13" w16cid:durableId="150105246">
    <w:abstractNumId w:val="3"/>
  </w:num>
  <w:num w:numId="14" w16cid:durableId="515769853">
    <w:abstractNumId w:val="2"/>
  </w:num>
  <w:num w:numId="15" w16cid:durableId="1753046014">
    <w:abstractNumId w:val="2"/>
  </w:num>
  <w:num w:numId="16" w16cid:durableId="665939894">
    <w:abstractNumId w:val="2"/>
  </w:num>
  <w:num w:numId="17" w16cid:durableId="2078749421">
    <w:abstractNumId w:val="2"/>
  </w:num>
  <w:num w:numId="18" w16cid:durableId="825047625">
    <w:abstractNumId w:val="2"/>
  </w:num>
  <w:num w:numId="19" w16cid:durableId="803810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24"/>
    <w:rsid w:val="0001436A"/>
    <w:rsid w:val="00034304"/>
    <w:rsid w:val="00035434"/>
    <w:rsid w:val="00052A14"/>
    <w:rsid w:val="00072C61"/>
    <w:rsid w:val="00077D53"/>
    <w:rsid w:val="00105FD9"/>
    <w:rsid w:val="00117666"/>
    <w:rsid w:val="001549D3"/>
    <w:rsid w:val="00160065"/>
    <w:rsid w:val="00177D84"/>
    <w:rsid w:val="00267D18"/>
    <w:rsid w:val="002868E2"/>
    <w:rsid w:val="002869C3"/>
    <w:rsid w:val="002936E4"/>
    <w:rsid w:val="002B4A57"/>
    <w:rsid w:val="002C74CA"/>
    <w:rsid w:val="003544FB"/>
    <w:rsid w:val="00375001"/>
    <w:rsid w:val="003D2D47"/>
    <w:rsid w:val="003D2F2D"/>
    <w:rsid w:val="00401590"/>
    <w:rsid w:val="00447801"/>
    <w:rsid w:val="00452E9C"/>
    <w:rsid w:val="004735C8"/>
    <w:rsid w:val="004961FF"/>
    <w:rsid w:val="00517A89"/>
    <w:rsid w:val="005250F2"/>
    <w:rsid w:val="00593EEA"/>
    <w:rsid w:val="005A5EEE"/>
    <w:rsid w:val="006375C7"/>
    <w:rsid w:val="00654E8F"/>
    <w:rsid w:val="00660D05"/>
    <w:rsid w:val="006820B1"/>
    <w:rsid w:val="006B7D14"/>
    <w:rsid w:val="00701727"/>
    <w:rsid w:val="0070566C"/>
    <w:rsid w:val="00714C50"/>
    <w:rsid w:val="00725A7D"/>
    <w:rsid w:val="007501BE"/>
    <w:rsid w:val="00790BB3"/>
    <w:rsid w:val="007C206C"/>
    <w:rsid w:val="00803D24"/>
    <w:rsid w:val="00817DD6"/>
    <w:rsid w:val="00885156"/>
    <w:rsid w:val="009151AA"/>
    <w:rsid w:val="0093429D"/>
    <w:rsid w:val="00943573"/>
    <w:rsid w:val="00970F7D"/>
    <w:rsid w:val="00994A3D"/>
    <w:rsid w:val="009B2B13"/>
    <w:rsid w:val="009C2B12"/>
    <w:rsid w:val="009C70F3"/>
    <w:rsid w:val="00A174D9"/>
    <w:rsid w:val="00A569CD"/>
    <w:rsid w:val="00AB5EE2"/>
    <w:rsid w:val="00AB6715"/>
    <w:rsid w:val="00B1671E"/>
    <w:rsid w:val="00B25EB8"/>
    <w:rsid w:val="00B354E1"/>
    <w:rsid w:val="00B37F4D"/>
    <w:rsid w:val="00C52A7B"/>
    <w:rsid w:val="00C56BAF"/>
    <w:rsid w:val="00C679AA"/>
    <w:rsid w:val="00C75972"/>
    <w:rsid w:val="00C87ABA"/>
    <w:rsid w:val="00CC0A3A"/>
    <w:rsid w:val="00CD066B"/>
    <w:rsid w:val="00CE4FEE"/>
    <w:rsid w:val="00DB59C3"/>
    <w:rsid w:val="00DC259A"/>
    <w:rsid w:val="00DE23E8"/>
    <w:rsid w:val="00E52377"/>
    <w:rsid w:val="00E64E17"/>
    <w:rsid w:val="00E866C9"/>
    <w:rsid w:val="00EA3D3C"/>
    <w:rsid w:val="00F46900"/>
    <w:rsid w:val="00F61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487BD"/>
  <w15:docId w15:val="{133E554D-C33E-435D-A5BC-605DF70AE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715"/>
    <w:pPr>
      <w:spacing w:before="120" w:after="240" w:line="240" w:lineRule="auto"/>
    </w:pPr>
    <w:rPr>
      <w:rFonts w:ascii="Times New Roman" w:hAnsi="Times New Roman"/>
      <w:sz w:val="24"/>
    </w:rPr>
  </w:style>
  <w:style w:type="paragraph" w:styleId="Heading1">
    <w:name w:val="heading 1"/>
    <w:basedOn w:val="ListParagraph"/>
    <w:next w:val="Normal"/>
    <w:link w:val="Heading1Char"/>
    <w:uiPriority w:val="2"/>
    <w:qFormat/>
    <w:rsid w:val="00AB6715"/>
    <w:pPr>
      <w:numPr>
        <w:numId w:val="19"/>
      </w:numPr>
      <w:spacing w:before="240"/>
      <w:contextualSpacing w:val="0"/>
      <w:outlineLvl w:val="0"/>
    </w:pPr>
    <w:rPr>
      <w:b/>
    </w:rPr>
  </w:style>
  <w:style w:type="paragraph" w:styleId="Heading2">
    <w:name w:val="heading 2"/>
    <w:basedOn w:val="Heading1"/>
    <w:next w:val="Normal"/>
    <w:link w:val="Heading2Char"/>
    <w:uiPriority w:val="2"/>
    <w:qFormat/>
    <w:rsid w:val="00AB6715"/>
    <w:pPr>
      <w:numPr>
        <w:ilvl w:val="1"/>
      </w:numPr>
      <w:spacing w:after="200"/>
      <w:outlineLvl w:val="1"/>
    </w:pPr>
  </w:style>
  <w:style w:type="paragraph" w:styleId="Heading3">
    <w:name w:val="heading 3"/>
    <w:basedOn w:val="Normal"/>
    <w:next w:val="Normal"/>
    <w:link w:val="Heading3Char"/>
    <w:uiPriority w:val="2"/>
    <w:qFormat/>
    <w:rsid w:val="00AB6715"/>
    <w:pPr>
      <w:keepNext/>
      <w:keepLines/>
      <w:numPr>
        <w:ilvl w:val="2"/>
        <w:numId w:val="19"/>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AB6715"/>
    <w:pPr>
      <w:numPr>
        <w:ilvl w:val="3"/>
      </w:numPr>
      <w:outlineLvl w:val="3"/>
    </w:pPr>
    <w:rPr>
      <w:iCs/>
    </w:rPr>
  </w:style>
  <w:style w:type="paragraph" w:styleId="Heading5">
    <w:name w:val="heading 5"/>
    <w:basedOn w:val="Heading4"/>
    <w:next w:val="Normal"/>
    <w:link w:val="Heading5Char"/>
    <w:uiPriority w:val="2"/>
    <w:qFormat/>
    <w:rsid w:val="00AB6715"/>
    <w:pPr>
      <w:numPr>
        <w:ilvl w:val="4"/>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AB6715"/>
    <w:rPr>
      <w:rFonts w:ascii="Times New Roman" w:eastAsia="Cambria" w:hAnsi="Times New Roman" w:cs="Times New Roman"/>
      <w:b/>
      <w:sz w:val="24"/>
      <w:szCs w:val="24"/>
    </w:rPr>
  </w:style>
  <w:style w:type="character" w:customStyle="1" w:styleId="Heading2Char">
    <w:name w:val="Heading 2 Char"/>
    <w:basedOn w:val="DefaultParagraphFont"/>
    <w:link w:val="Heading2"/>
    <w:uiPriority w:val="2"/>
    <w:rsid w:val="00AB6715"/>
    <w:rPr>
      <w:rFonts w:ascii="Times New Roman" w:eastAsia="Cambria" w:hAnsi="Times New Roman" w:cs="Times New Roman"/>
      <w:b/>
      <w:sz w:val="24"/>
      <w:szCs w:val="24"/>
    </w:rPr>
  </w:style>
  <w:style w:type="paragraph" w:styleId="Subtitle">
    <w:name w:val="Subtitle"/>
    <w:basedOn w:val="Normal"/>
    <w:next w:val="Normal"/>
    <w:link w:val="SubtitleChar"/>
    <w:uiPriority w:val="99"/>
    <w:unhideWhenUsed/>
    <w:qFormat/>
    <w:rsid w:val="00AB6715"/>
    <w:pPr>
      <w:spacing w:before="240"/>
    </w:pPr>
    <w:rPr>
      <w:rFonts w:cs="Times New Roman"/>
      <w:b/>
      <w:szCs w:val="24"/>
    </w:rPr>
  </w:style>
  <w:style w:type="character" w:customStyle="1" w:styleId="SubtitleChar">
    <w:name w:val="Subtitle Char"/>
    <w:basedOn w:val="DefaultParagraphFont"/>
    <w:link w:val="Subtitle"/>
    <w:uiPriority w:val="99"/>
    <w:rsid w:val="00AB6715"/>
    <w:rPr>
      <w:rFonts w:ascii="Times New Roman" w:hAnsi="Times New Roman" w:cs="Times New Roman"/>
      <w:b/>
      <w:sz w:val="24"/>
      <w:szCs w:val="24"/>
    </w:rPr>
  </w:style>
  <w:style w:type="paragraph" w:customStyle="1" w:styleId="AuthorList">
    <w:name w:val="Author List"/>
    <w:aliases w:val="Keywords,Abstract"/>
    <w:basedOn w:val="Subtitle"/>
    <w:next w:val="Normal"/>
    <w:uiPriority w:val="1"/>
    <w:qFormat/>
    <w:rsid w:val="00AB6715"/>
  </w:style>
  <w:style w:type="paragraph" w:styleId="BalloonText">
    <w:name w:val="Balloon Text"/>
    <w:basedOn w:val="Normal"/>
    <w:link w:val="BalloonTextChar"/>
    <w:uiPriority w:val="99"/>
    <w:semiHidden/>
    <w:unhideWhenUsed/>
    <w:rsid w:val="00AB671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715"/>
    <w:rPr>
      <w:rFonts w:ascii="Tahoma" w:hAnsi="Tahoma" w:cs="Tahoma"/>
      <w:sz w:val="16"/>
      <w:szCs w:val="16"/>
    </w:rPr>
  </w:style>
  <w:style w:type="character" w:styleId="BookTitle">
    <w:name w:val="Book Title"/>
    <w:basedOn w:val="DefaultParagraphFont"/>
    <w:uiPriority w:val="33"/>
    <w:qFormat/>
    <w:rsid w:val="00AB6715"/>
    <w:rPr>
      <w:rFonts w:ascii="Times New Roman" w:hAnsi="Times New Roman"/>
      <w:b/>
      <w:bCs/>
      <w:i/>
      <w:iCs/>
      <w:spacing w:val="5"/>
    </w:rPr>
  </w:style>
  <w:style w:type="paragraph" w:styleId="Caption">
    <w:name w:val="caption"/>
    <w:basedOn w:val="Normal"/>
    <w:next w:val="NoSpacing"/>
    <w:uiPriority w:val="35"/>
    <w:unhideWhenUsed/>
    <w:qFormat/>
    <w:rsid w:val="00AB6715"/>
    <w:pPr>
      <w:keepNext/>
    </w:pPr>
    <w:rPr>
      <w:rFonts w:cs="Times New Roman"/>
      <w:b/>
      <w:bCs/>
      <w:szCs w:val="24"/>
    </w:rPr>
  </w:style>
  <w:style w:type="paragraph" w:styleId="NoSpacing">
    <w:name w:val="No Spacing"/>
    <w:uiPriority w:val="99"/>
    <w:unhideWhenUsed/>
    <w:qFormat/>
    <w:rsid w:val="00AB6715"/>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AB6715"/>
    <w:rPr>
      <w:sz w:val="16"/>
      <w:szCs w:val="16"/>
    </w:rPr>
  </w:style>
  <w:style w:type="paragraph" w:styleId="CommentText">
    <w:name w:val="annotation text"/>
    <w:basedOn w:val="Normal"/>
    <w:link w:val="CommentTextChar"/>
    <w:uiPriority w:val="99"/>
    <w:semiHidden/>
    <w:unhideWhenUsed/>
    <w:rsid w:val="00AB6715"/>
    <w:rPr>
      <w:sz w:val="20"/>
      <w:szCs w:val="20"/>
    </w:rPr>
  </w:style>
  <w:style w:type="character" w:customStyle="1" w:styleId="CommentTextChar">
    <w:name w:val="Comment Text Char"/>
    <w:basedOn w:val="DefaultParagraphFont"/>
    <w:link w:val="CommentText"/>
    <w:uiPriority w:val="99"/>
    <w:semiHidden/>
    <w:rsid w:val="00AB671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B6715"/>
    <w:rPr>
      <w:b/>
      <w:bCs/>
    </w:rPr>
  </w:style>
  <w:style w:type="character" w:customStyle="1" w:styleId="CommentSubjectChar">
    <w:name w:val="Comment Subject Char"/>
    <w:basedOn w:val="CommentTextChar"/>
    <w:link w:val="CommentSubject"/>
    <w:uiPriority w:val="99"/>
    <w:semiHidden/>
    <w:rsid w:val="00AB6715"/>
    <w:rPr>
      <w:rFonts w:ascii="Times New Roman" w:hAnsi="Times New Roman"/>
      <w:b/>
      <w:bCs/>
      <w:sz w:val="20"/>
      <w:szCs w:val="20"/>
    </w:rPr>
  </w:style>
  <w:style w:type="character" w:styleId="Emphasis">
    <w:name w:val="Emphasis"/>
    <w:basedOn w:val="DefaultParagraphFont"/>
    <w:uiPriority w:val="20"/>
    <w:qFormat/>
    <w:rsid w:val="00AB6715"/>
    <w:rPr>
      <w:rFonts w:ascii="Times New Roman" w:hAnsi="Times New Roman"/>
      <w:i/>
      <w:iCs/>
    </w:rPr>
  </w:style>
  <w:style w:type="character" w:styleId="EndnoteReference">
    <w:name w:val="endnote reference"/>
    <w:basedOn w:val="DefaultParagraphFont"/>
    <w:uiPriority w:val="99"/>
    <w:semiHidden/>
    <w:unhideWhenUsed/>
    <w:rsid w:val="00AB6715"/>
    <w:rPr>
      <w:vertAlign w:val="superscript"/>
    </w:rPr>
  </w:style>
  <w:style w:type="paragraph" w:styleId="EndnoteText">
    <w:name w:val="endnote text"/>
    <w:basedOn w:val="Normal"/>
    <w:link w:val="EndnoteTextChar"/>
    <w:uiPriority w:val="99"/>
    <w:semiHidden/>
    <w:unhideWhenUsed/>
    <w:rsid w:val="00AB6715"/>
    <w:pPr>
      <w:spacing w:after="0"/>
    </w:pPr>
    <w:rPr>
      <w:sz w:val="20"/>
      <w:szCs w:val="20"/>
    </w:rPr>
  </w:style>
  <w:style w:type="character" w:customStyle="1" w:styleId="EndnoteTextChar">
    <w:name w:val="Endnote Text Char"/>
    <w:basedOn w:val="DefaultParagraphFont"/>
    <w:link w:val="EndnoteText"/>
    <w:uiPriority w:val="99"/>
    <w:semiHidden/>
    <w:rsid w:val="00AB6715"/>
    <w:rPr>
      <w:rFonts w:ascii="Times New Roman" w:hAnsi="Times New Roman"/>
      <w:sz w:val="20"/>
      <w:szCs w:val="20"/>
    </w:rPr>
  </w:style>
  <w:style w:type="character" w:styleId="FollowedHyperlink">
    <w:name w:val="FollowedHyperlink"/>
    <w:basedOn w:val="DefaultParagraphFont"/>
    <w:uiPriority w:val="99"/>
    <w:semiHidden/>
    <w:unhideWhenUsed/>
    <w:rsid w:val="00AB6715"/>
    <w:rPr>
      <w:color w:val="800080" w:themeColor="followedHyperlink"/>
      <w:u w:val="single"/>
    </w:rPr>
  </w:style>
  <w:style w:type="paragraph" w:styleId="Footer">
    <w:name w:val="footer"/>
    <w:basedOn w:val="Normal"/>
    <w:link w:val="FooterChar"/>
    <w:uiPriority w:val="99"/>
    <w:unhideWhenUsed/>
    <w:rsid w:val="00AB6715"/>
    <w:pPr>
      <w:tabs>
        <w:tab w:val="center" w:pos="4844"/>
        <w:tab w:val="right" w:pos="9689"/>
      </w:tabs>
      <w:spacing w:after="0"/>
    </w:pPr>
  </w:style>
  <w:style w:type="character" w:customStyle="1" w:styleId="FooterChar">
    <w:name w:val="Footer Char"/>
    <w:basedOn w:val="DefaultParagraphFont"/>
    <w:link w:val="Footer"/>
    <w:uiPriority w:val="99"/>
    <w:rsid w:val="00AB6715"/>
    <w:rPr>
      <w:rFonts w:ascii="Times New Roman" w:hAnsi="Times New Roman"/>
      <w:sz w:val="24"/>
    </w:rPr>
  </w:style>
  <w:style w:type="character" w:styleId="FootnoteReference">
    <w:name w:val="footnote reference"/>
    <w:basedOn w:val="DefaultParagraphFont"/>
    <w:uiPriority w:val="99"/>
    <w:semiHidden/>
    <w:unhideWhenUsed/>
    <w:rsid w:val="00AB6715"/>
    <w:rPr>
      <w:vertAlign w:val="superscript"/>
    </w:rPr>
  </w:style>
  <w:style w:type="paragraph" w:styleId="FootnoteText">
    <w:name w:val="footnote text"/>
    <w:basedOn w:val="Normal"/>
    <w:link w:val="FootnoteTextChar"/>
    <w:uiPriority w:val="99"/>
    <w:semiHidden/>
    <w:unhideWhenUsed/>
    <w:rsid w:val="00AB6715"/>
    <w:pPr>
      <w:spacing w:after="0"/>
    </w:pPr>
    <w:rPr>
      <w:sz w:val="20"/>
      <w:szCs w:val="20"/>
    </w:rPr>
  </w:style>
  <w:style w:type="character" w:customStyle="1" w:styleId="FootnoteTextChar">
    <w:name w:val="Footnote Text Char"/>
    <w:basedOn w:val="DefaultParagraphFont"/>
    <w:link w:val="FootnoteText"/>
    <w:uiPriority w:val="99"/>
    <w:semiHidden/>
    <w:rsid w:val="00AB6715"/>
    <w:rPr>
      <w:rFonts w:ascii="Times New Roman" w:hAnsi="Times New Roman"/>
      <w:sz w:val="20"/>
      <w:szCs w:val="20"/>
    </w:rPr>
  </w:style>
  <w:style w:type="paragraph" w:styleId="Header">
    <w:name w:val="header"/>
    <w:basedOn w:val="Normal"/>
    <w:link w:val="HeaderChar"/>
    <w:uiPriority w:val="99"/>
    <w:unhideWhenUsed/>
    <w:rsid w:val="00AB6715"/>
    <w:pPr>
      <w:tabs>
        <w:tab w:val="center" w:pos="4844"/>
        <w:tab w:val="right" w:pos="9689"/>
      </w:tabs>
    </w:pPr>
    <w:rPr>
      <w:b/>
    </w:rPr>
  </w:style>
  <w:style w:type="character" w:customStyle="1" w:styleId="HeaderChar">
    <w:name w:val="Header Char"/>
    <w:basedOn w:val="DefaultParagraphFont"/>
    <w:link w:val="Header"/>
    <w:uiPriority w:val="99"/>
    <w:rsid w:val="00AB6715"/>
    <w:rPr>
      <w:rFonts w:ascii="Times New Roman" w:hAnsi="Times New Roman"/>
      <w:b/>
      <w:sz w:val="24"/>
    </w:rPr>
  </w:style>
  <w:style w:type="paragraph" w:styleId="ListParagraph">
    <w:name w:val="List Paragraph"/>
    <w:basedOn w:val="Normal"/>
    <w:uiPriority w:val="3"/>
    <w:qFormat/>
    <w:rsid w:val="00AB6715"/>
    <w:pPr>
      <w:numPr>
        <w:numId w:val="13"/>
      </w:numPr>
      <w:contextualSpacing/>
    </w:pPr>
    <w:rPr>
      <w:rFonts w:eastAsia="Cambria" w:cs="Times New Roman"/>
      <w:szCs w:val="24"/>
    </w:rPr>
  </w:style>
  <w:style w:type="numbering" w:customStyle="1" w:styleId="Headings">
    <w:name w:val="Headings"/>
    <w:uiPriority w:val="99"/>
    <w:rsid w:val="00AB6715"/>
    <w:pPr>
      <w:numPr>
        <w:numId w:val="14"/>
      </w:numPr>
    </w:pPr>
  </w:style>
  <w:style w:type="character" w:styleId="Hyperlink">
    <w:name w:val="Hyperlink"/>
    <w:basedOn w:val="DefaultParagraphFont"/>
    <w:uiPriority w:val="99"/>
    <w:unhideWhenUsed/>
    <w:rsid w:val="00AB6715"/>
    <w:rPr>
      <w:color w:val="0000FF"/>
      <w:u w:val="single"/>
    </w:rPr>
  </w:style>
  <w:style w:type="character" w:styleId="IntenseEmphasis">
    <w:name w:val="Intense Emphasis"/>
    <w:basedOn w:val="DefaultParagraphFont"/>
    <w:uiPriority w:val="21"/>
    <w:unhideWhenUsed/>
    <w:rsid w:val="00AB6715"/>
    <w:rPr>
      <w:rFonts w:ascii="Times New Roman" w:hAnsi="Times New Roman"/>
      <w:i/>
      <w:iCs/>
      <w:color w:val="auto"/>
    </w:rPr>
  </w:style>
  <w:style w:type="character" w:styleId="IntenseReference">
    <w:name w:val="Intense Reference"/>
    <w:basedOn w:val="DefaultParagraphFont"/>
    <w:uiPriority w:val="32"/>
    <w:qFormat/>
    <w:rsid w:val="00AB6715"/>
    <w:rPr>
      <w:b/>
      <w:bCs/>
      <w:smallCaps/>
      <w:color w:val="auto"/>
      <w:spacing w:val="5"/>
    </w:rPr>
  </w:style>
  <w:style w:type="character" w:styleId="LineNumber">
    <w:name w:val="line number"/>
    <w:basedOn w:val="DefaultParagraphFont"/>
    <w:uiPriority w:val="99"/>
    <w:semiHidden/>
    <w:unhideWhenUsed/>
    <w:rsid w:val="00AB6715"/>
  </w:style>
  <w:style w:type="character" w:customStyle="1" w:styleId="Heading3Char">
    <w:name w:val="Heading 3 Char"/>
    <w:basedOn w:val="DefaultParagraphFont"/>
    <w:link w:val="Heading3"/>
    <w:uiPriority w:val="2"/>
    <w:rsid w:val="00AB6715"/>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2"/>
    <w:rsid w:val="00AB6715"/>
    <w:rPr>
      <w:rFonts w:ascii="Times New Roman" w:eastAsiaTheme="majorEastAsia" w:hAnsi="Times New Roman" w:cstheme="majorBidi"/>
      <w:b/>
      <w:iCs/>
      <w:sz w:val="24"/>
      <w:szCs w:val="24"/>
    </w:rPr>
  </w:style>
  <w:style w:type="character" w:customStyle="1" w:styleId="Heading5Char">
    <w:name w:val="Heading 5 Char"/>
    <w:basedOn w:val="DefaultParagraphFont"/>
    <w:link w:val="Heading5"/>
    <w:uiPriority w:val="2"/>
    <w:rsid w:val="00AB6715"/>
    <w:rPr>
      <w:rFonts w:ascii="Times New Roman" w:eastAsiaTheme="majorEastAsia" w:hAnsi="Times New Roman" w:cstheme="majorBidi"/>
      <w:b/>
      <w:iCs/>
      <w:sz w:val="24"/>
      <w:szCs w:val="24"/>
    </w:rPr>
  </w:style>
  <w:style w:type="paragraph" w:styleId="NormalWeb">
    <w:name w:val="Normal (Web)"/>
    <w:basedOn w:val="Normal"/>
    <w:uiPriority w:val="99"/>
    <w:unhideWhenUsed/>
    <w:rsid w:val="00AB6715"/>
    <w:pPr>
      <w:spacing w:before="100" w:beforeAutospacing="1" w:after="100" w:afterAutospacing="1"/>
    </w:pPr>
    <w:rPr>
      <w:rFonts w:eastAsia="Times New Roman" w:cs="Times New Roman"/>
      <w:szCs w:val="24"/>
    </w:rPr>
  </w:style>
  <w:style w:type="paragraph" w:styleId="Quote">
    <w:name w:val="Quote"/>
    <w:basedOn w:val="Normal"/>
    <w:next w:val="Normal"/>
    <w:link w:val="QuoteChar"/>
    <w:uiPriority w:val="29"/>
    <w:qFormat/>
    <w:rsid w:val="00AB671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B6715"/>
    <w:rPr>
      <w:rFonts w:ascii="Times New Roman" w:hAnsi="Times New Roman"/>
      <w:i/>
      <w:iCs/>
      <w:color w:val="404040" w:themeColor="text1" w:themeTint="BF"/>
      <w:sz w:val="24"/>
    </w:rPr>
  </w:style>
  <w:style w:type="character" w:styleId="Strong">
    <w:name w:val="Strong"/>
    <w:basedOn w:val="DefaultParagraphFont"/>
    <w:uiPriority w:val="22"/>
    <w:qFormat/>
    <w:rsid w:val="00AB6715"/>
    <w:rPr>
      <w:rFonts w:ascii="Times New Roman" w:hAnsi="Times New Roman"/>
      <w:b/>
      <w:bCs/>
    </w:rPr>
  </w:style>
  <w:style w:type="character" w:styleId="SubtleEmphasis">
    <w:name w:val="Subtle Emphasis"/>
    <w:basedOn w:val="DefaultParagraphFont"/>
    <w:uiPriority w:val="19"/>
    <w:qFormat/>
    <w:rsid w:val="00AB6715"/>
    <w:rPr>
      <w:rFonts w:ascii="Times New Roman" w:hAnsi="Times New Roman"/>
      <w:i/>
      <w:iCs/>
      <w:color w:val="404040" w:themeColor="text1" w:themeTint="BF"/>
    </w:rPr>
  </w:style>
  <w:style w:type="table" w:styleId="TableGrid">
    <w:name w:val="Table Grid"/>
    <w:basedOn w:val="TableNormal"/>
    <w:uiPriority w:val="39"/>
    <w:rsid w:val="00AB6715"/>
    <w:pPr>
      <w:spacing w:after="0" w:line="240" w:lineRule="auto"/>
    </w:pPr>
    <w:rPr>
      <w:rFonts w:asciiTheme="majorHAnsi" w:hAnsiTheme="maj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AB6715"/>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AB6715"/>
    <w:rPr>
      <w:rFonts w:ascii="Times New Roman" w:hAnsi="Times New Roman" w:cs="Times New Roman"/>
      <w:b/>
      <w:sz w:val="32"/>
      <w:szCs w:val="32"/>
    </w:rPr>
  </w:style>
  <w:style w:type="paragraph" w:customStyle="1" w:styleId="SupplementaryMaterial">
    <w:name w:val="Supplementary Material"/>
    <w:basedOn w:val="Title"/>
    <w:next w:val="Title"/>
    <w:qFormat/>
    <w:rsid w:val="0001436A"/>
    <w:pPr>
      <w:spacing w:after="120"/>
    </w:pPr>
    <w:rPr>
      <w:i/>
    </w:rPr>
  </w:style>
  <w:style w:type="paragraph" w:styleId="Revision">
    <w:name w:val="Revision"/>
    <w:hidden/>
    <w:uiPriority w:val="99"/>
    <w:semiHidden/>
    <w:rsid w:val="00803D24"/>
    <w:pPr>
      <w:spacing w:after="0" w:line="240" w:lineRule="auto"/>
    </w:pPr>
    <w:rPr>
      <w:rFonts w:ascii="Times New Roman" w:hAnsi="Times New Roman"/>
      <w:sz w:val="24"/>
    </w:rPr>
  </w:style>
  <w:style w:type="character" w:styleId="PlaceholderText">
    <w:name w:val="Placeholder Text"/>
    <w:basedOn w:val="DefaultParagraphFont"/>
    <w:uiPriority w:val="99"/>
    <w:semiHidden/>
    <w:rsid w:val="003750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546401">
      <w:bodyDiv w:val="1"/>
      <w:marLeft w:val="0"/>
      <w:marRight w:val="0"/>
      <w:marTop w:val="0"/>
      <w:marBottom w:val="0"/>
      <w:divBdr>
        <w:top w:val="none" w:sz="0" w:space="0" w:color="auto"/>
        <w:left w:val="none" w:sz="0" w:space="0" w:color="auto"/>
        <w:bottom w:val="none" w:sz="0" w:space="0" w:color="auto"/>
        <w:right w:val="none" w:sz="0" w:space="0" w:color="auto"/>
      </w:divBdr>
      <w:divsChild>
        <w:div w:id="1995134195">
          <w:marLeft w:val="480"/>
          <w:marRight w:val="0"/>
          <w:marTop w:val="0"/>
          <w:marBottom w:val="0"/>
          <w:divBdr>
            <w:top w:val="none" w:sz="0" w:space="0" w:color="auto"/>
            <w:left w:val="none" w:sz="0" w:space="0" w:color="auto"/>
            <w:bottom w:val="none" w:sz="0" w:space="0" w:color="auto"/>
            <w:right w:val="none" w:sz="0" w:space="0" w:color="auto"/>
          </w:divBdr>
        </w:div>
        <w:div w:id="365446291">
          <w:marLeft w:val="480"/>
          <w:marRight w:val="0"/>
          <w:marTop w:val="0"/>
          <w:marBottom w:val="0"/>
          <w:divBdr>
            <w:top w:val="none" w:sz="0" w:space="0" w:color="auto"/>
            <w:left w:val="none" w:sz="0" w:space="0" w:color="auto"/>
            <w:bottom w:val="none" w:sz="0" w:space="0" w:color="auto"/>
            <w:right w:val="none" w:sz="0" w:space="0" w:color="auto"/>
          </w:divBdr>
        </w:div>
        <w:div w:id="748960348">
          <w:marLeft w:val="480"/>
          <w:marRight w:val="0"/>
          <w:marTop w:val="0"/>
          <w:marBottom w:val="0"/>
          <w:divBdr>
            <w:top w:val="none" w:sz="0" w:space="0" w:color="auto"/>
            <w:left w:val="none" w:sz="0" w:space="0" w:color="auto"/>
            <w:bottom w:val="none" w:sz="0" w:space="0" w:color="auto"/>
            <w:right w:val="none" w:sz="0" w:space="0" w:color="auto"/>
          </w:divBdr>
        </w:div>
        <w:div w:id="2014067018">
          <w:marLeft w:val="480"/>
          <w:marRight w:val="0"/>
          <w:marTop w:val="0"/>
          <w:marBottom w:val="0"/>
          <w:divBdr>
            <w:top w:val="none" w:sz="0" w:space="0" w:color="auto"/>
            <w:left w:val="none" w:sz="0" w:space="0" w:color="auto"/>
            <w:bottom w:val="none" w:sz="0" w:space="0" w:color="auto"/>
            <w:right w:val="none" w:sz="0" w:space="0" w:color="auto"/>
          </w:divBdr>
        </w:div>
        <w:div w:id="1397818442">
          <w:marLeft w:val="480"/>
          <w:marRight w:val="0"/>
          <w:marTop w:val="0"/>
          <w:marBottom w:val="0"/>
          <w:divBdr>
            <w:top w:val="none" w:sz="0" w:space="0" w:color="auto"/>
            <w:left w:val="none" w:sz="0" w:space="0" w:color="auto"/>
            <w:bottom w:val="none" w:sz="0" w:space="0" w:color="auto"/>
            <w:right w:val="none" w:sz="0" w:space="0" w:color="auto"/>
          </w:divBdr>
        </w:div>
        <w:div w:id="431557148">
          <w:marLeft w:val="480"/>
          <w:marRight w:val="0"/>
          <w:marTop w:val="0"/>
          <w:marBottom w:val="0"/>
          <w:divBdr>
            <w:top w:val="none" w:sz="0" w:space="0" w:color="auto"/>
            <w:left w:val="none" w:sz="0" w:space="0" w:color="auto"/>
            <w:bottom w:val="none" w:sz="0" w:space="0" w:color="auto"/>
            <w:right w:val="none" w:sz="0" w:space="0" w:color="auto"/>
          </w:divBdr>
        </w:div>
        <w:div w:id="2092117684">
          <w:marLeft w:val="480"/>
          <w:marRight w:val="0"/>
          <w:marTop w:val="0"/>
          <w:marBottom w:val="0"/>
          <w:divBdr>
            <w:top w:val="none" w:sz="0" w:space="0" w:color="auto"/>
            <w:left w:val="none" w:sz="0" w:space="0" w:color="auto"/>
            <w:bottom w:val="none" w:sz="0" w:space="0" w:color="auto"/>
            <w:right w:val="none" w:sz="0" w:space="0" w:color="auto"/>
          </w:divBdr>
        </w:div>
        <w:div w:id="462312143">
          <w:marLeft w:val="480"/>
          <w:marRight w:val="0"/>
          <w:marTop w:val="0"/>
          <w:marBottom w:val="0"/>
          <w:divBdr>
            <w:top w:val="none" w:sz="0" w:space="0" w:color="auto"/>
            <w:left w:val="none" w:sz="0" w:space="0" w:color="auto"/>
            <w:bottom w:val="none" w:sz="0" w:space="0" w:color="auto"/>
            <w:right w:val="none" w:sz="0" w:space="0" w:color="auto"/>
          </w:divBdr>
        </w:div>
        <w:div w:id="1697657685">
          <w:marLeft w:val="480"/>
          <w:marRight w:val="0"/>
          <w:marTop w:val="0"/>
          <w:marBottom w:val="0"/>
          <w:divBdr>
            <w:top w:val="none" w:sz="0" w:space="0" w:color="auto"/>
            <w:left w:val="none" w:sz="0" w:space="0" w:color="auto"/>
            <w:bottom w:val="none" w:sz="0" w:space="0" w:color="auto"/>
            <w:right w:val="none" w:sz="0" w:space="0" w:color="auto"/>
          </w:divBdr>
        </w:div>
        <w:div w:id="1100644024">
          <w:marLeft w:val="480"/>
          <w:marRight w:val="0"/>
          <w:marTop w:val="0"/>
          <w:marBottom w:val="0"/>
          <w:divBdr>
            <w:top w:val="none" w:sz="0" w:space="0" w:color="auto"/>
            <w:left w:val="none" w:sz="0" w:space="0" w:color="auto"/>
            <w:bottom w:val="none" w:sz="0" w:space="0" w:color="auto"/>
            <w:right w:val="none" w:sz="0" w:space="0" w:color="auto"/>
          </w:divBdr>
        </w:div>
        <w:div w:id="1548491766">
          <w:marLeft w:val="480"/>
          <w:marRight w:val="0"/>
          <w:marTop w:val="0"/>
          <w:marBottom w:val="0"/>
          <w:divBdr>
            <w:top w:val="none" w:sz="0" w:space="0" w:color="auto"/>
            <w:left w:val="none" w:sz="0" w:space="0" w:color="auto"/>
            <w:bottom w:val="none" w:sz="0" w:space="0" w:color="auto"/>
            <w:right w:val="none" w:sz="0" w:space="0" w:color="auto"/>
          </w:divBdr>
        </w:div>
        <w:div w:id="1409352306">
          <w:marLeft w:val="480"/>
          <w:marRight w:val="0"/>
          <w:marTop w:val="0"/>
          <w:marBottom w:val="0"/>
          <w:divBdr>
            <w:top w:val="none" w:sz="0" w:space="0" w:color="auto"/>
            <w:left w:val="none" w:sz="0" w:space="0" w:color="auto"/>
            <w:bottom w:val="none" w:sz="0" w:space="0" w:color="auto"/>
            <w:right w:val="none" w:sz="0" w:space="0" w:color="auto"/>
          </w:divBdr>
        </w:div>
        <w:div w:id="1826388486">
          <w:marLeft w:val="480"/>
          <w:marRight w:val="0"/>
          <w:marTop w:val="0"/>
          <w:marBottom w:val="0"/>
          <w:divBdr>
            <w:top w:val="none" w:sz="0" w:space="0" w:color="auto"/>
            <w:left w:val="none" w:sz="0" w:space="0" w:color="auto"/>
            <w:bottom w:val="none" w:sz="0" w:space="0" w:color="auto"/>
            <w:right w:val="none" w:sz="0" w:space="0" w:color="auto"/>
          </w:divBdr>
        </w:div>
        <w:div w:id="719211329">
          <w:marLeft w:val="480"/>
          <w:marRight w:val="0"/>
          <w:marTop w:val="0"/>
          <w:marBottom w:val="0"/>
          <w:divBdr>
            <w:top w:val="none" w:sz="0" w:space="0" w:color="auto"/>
            <w:left w:val="none" w:sz="0" w:space="0" w:color="auto"/>
            <w:bottom w:val="none" w:sz="0" w:space="0" w:color="auto"/>
            <w:right w:val="none" w:sz="0" w:space="0" w:color="auto"/>
          </w:divBdr>
        </w:div>
        <w:div w:id="10567674">
          <w:marLeft w:val="480"/>
          <w:marRight w:val="0"/>
          <w:marTop w:val="0"/>
          <w:marBottom w:val="0"/>
          <w:divBdr>
            <w:top w:val="none" w:sz="0" w:space="0" w:color="auto"/>
            <w:left w:val="none" w:sz="0" w:space="0" w:color="auto"/>
            <w:bottom w:val="none" w:sz="0" w:space="0" w:color="auto"/>
            <w:right w:val="none" w:sz="0" w:space="0" w:color="auto"/>
          </w:divBdr>
        </w:div>
        <w:div w:id="434447319">
          <w:marLeft w:val="480"/>
          <w:marRight w:val="0"/>
          <w:marTop w:val="0"/>
          <w:marBottom w:val="0"/>
          <w:divBdr>
            <w:top w:val="none" w:sz="0" w:space="0" w:color="auto"/>
            <w:left w:val="none" w:sz="0" w:space="0" w:color="auto"/>
            <w:bottom w:val="none" w:sz="0" w:space="0" w:color="auto"/>
            <w:right w:val="none" w:sz="0" w:space="0" w:color="auto"/>
          </w:divBdr>
        </w:div>
      </w:divsChild>
    </w:div>
    <w:div w:id="327366873">
      <w:bodyDiv w:val="1"/>
      <w:marLeft w:val="0"/>
      <w:marRight w:val="0"/>
      <w:marTop w:val="0"/>
      <w:marBottom w:val="0"/>
      <w:divBdr>
        <w:top w:val="none" w:sz="0" w:space="0" w:color="auto"/>
        <w:left w:val="none" w:sz="0" w:space="0" w:color="auto"/>
        <w:bottom w:val="none" w:sz="0" w:space="0" w:color="auto"/>
        <w:right w:val="none" w:sz="0" w:space="0" w:color="auto"/>
      </w:divBdr>
    </w:div>
    <w:div w:id="151391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nnah.eccles\OneDrive%20-%20Frontiers%20Media%20SA\Documents\Latex%20work\Sep%202022_link%20updates\Supplementary_Materi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917C860493467A95D60E4199186801"/>
        <w:category>
          <w:name w:val="General"/>
          <w:gallery w:val="placeholder"/>
        </w:category>
        <w:types>
          <w:type w:val="bbPlcHdr"/>
        </w:types>
        <w:behaviors>
          <w:behavior w:val="content"/>
        </w:behaviors>
        <w:guid w:val="{6AB88046-5070-41E2-B191-9E8682C2D8E3}"/>
      </w:docPartPr>
      <w:docPartBody>
        <w:p w:rsidR="0064226A" w:rsidRDefault="0064226A" w:rsidP="0064226A">
          <w:pPr>
            <w:pStyle w:val="62917C860493467A95D60E4199186801"/>
          </w:pPr>
          <w:r w:rsidRPr="000B5250">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67D5273-E2A3-4BE0-8147-549271EE25DB}"/>
      </w:docPartPr>
      <w:docPartBody>
        <w:p w:rsidR="0064226A" w:rsidRDefault="0064226A">
          <w:r w:rsidRPr="0058571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26A"/>
    <w:rsid w:val="0064226A"/>
    <w:rsid w:val="009B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26A"/>
    <w:rPr>
      <w:color w:val="666666"/>
    </w:rPr>
  </w:style>
  <w:style w:type="paragraph" w:customStyle="1" w:styleId="62917C860493467A95D60E4199186801">
    <w:name w:val="62917C860493467A95D60E4199186801"/>
    <w:rsid w:val="006422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3F41B0-C049-4CE7-B982-05AA92AFE310}">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59268965036"/>
    <we:property name="MENDELEY_CITATIONS" value="[{&quot;citationID&quot;:&quot;MENDELEY_CITATION_1c40b0c9-18c7-4994-afd6-d61595fa511d&quot;,&quot;properties&quot;:{&quot;noteIndex&quot;:0},&quot;isEdited&quot;:false,&quot;manualOverride&quot;:{&quot;isManuallyOverridden&quot;:false,&quot;citeprocText&quot;:&quot;(ASME, 2009; Richard G. Hills et al., 2015)&quot;,&quot;manualOverrideText&quot;:&quot;&quot;},&quot;citationTag&quot;:&quot;MENDELEY_CITATION_v3_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&quot;,&quot;citationItems&quot;:[{&quot;id&quot;:&quot;279c9103-348c-3b07-8738-4e7c254de1b8&quot;,&quot;itemData&quot;:{&quot;type&quot;:&quot;report&quot;,&quot;id&quot;:&quot;279c9103-348c-3b07-8738-4e7c254de1b8&quot;,&quot;title&quot;:&quot;V&amp;V Framework (SAND2015-7455)&quot;,&quot;author&quot;:[{&quot;family&quot;:&quot;Richard G. Hills&quot;,&quot;given&quot;:&quot;&quot;,&quot;parse-names&quot;:false,&quot;dropping-particle&quot;:&quot;&quot;,&quot;non-dropping-particle&quot;:&quot;&quot;},{&quot;family&quot;:&quot;David C. Maniaci&quot;,&quot;given&quot;:&quot;&quot;,&quot;parse-names&quot;:false,&quot;dropping-particle&quot;:&quot;&quot;,&quot;non-dropping-particle&quot;:&quot;&quot;},{&quot;family&quot;:&quot;Jonathan W. Naughton&quot;,&quot;given&quot;:&quot;&quot;,&quot;parse-names&quot;:false,&quot;dropping-particle&quot;:&quot;&quot;,&quot;non-dropping-particle&quot;:&quot;&quot;}],&quot;issued&quot;:{&quot;date-parts&quot;:[[2015]]},&quot;publisher-place&quot;:&quot;Albuquerque, NM &amp; Livermore, CA&quot;,&quot;container-title-short&quot;:&quot;&quot;},&quot;isTemporary&quot;:false},{&quot;id&quot;:&quot;af6b46a1-93ed-35a8-80ae-671ca8bc1e4b&quot;,&quot;itemData&quot;:{&quot;type&quot;:&quot;report&quot;,&quot;id&quot;:&quot;af6b46a1-93ed-35a8-80ae-671ca8bc1e4b&quot;,&quot;title&quot;:&quot;Standard for Verification and Validation in Computational Fluid Dynamics and Heat Transfer (ASME V&amp;V 20-2009)&quot;,&quot;author&quot;:[{&quot;family&quot;:&quot;ASME&quot;,&quot;given&quot;:&quot;&quot;,&quot;parse-names&quot;:false,&quot;dropping-particle&quot;:&quot;&quot;,&quot;non-dropping-particle&quot;:&quot;&quot;}],&quot;issued&quot;:{&quot;date-parts&quot;:[[2009]]},&quot;publisher-place&quot;:&quot;New York&quot;,&quot;container-title-short&quot;:&quot;&quot;},&quot;isTemporary&quot;:false}]},{&quot;citationID&quot;:&quot;MENDELEY_CITATION_188bc0dd-0290-48bb-b586-c6e7e639feab&quot;,&quot;properties&quot;:{&quot;noteIndex&quot;:0},&quot;isEdited&quot;:false,&quot;manualOverride&quot;:{&quot;isManuallyOverridden&quot;:false,&quot;citeprocText&quot;:&quot;(ASME, 2009)&quot;,&quot;manualOverrideText&quot;:&quot;&quot;},&quot;citationTag&quot;:&quot;MENDELEY_CITATION_v3_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&quot;,&quot;citationItems&quot;:[{&quot;id&quot;:&quot;af6b46a1-93ed-35a8-80ae-671ca8bc1e4b&quot;,&quot;itemData&quot;:{&quot;type&quot;:&quot;report&quot;,&quot;id&quot;:&quot;af6b46a1-93ed-35a8-80ae-671ca8bc1e4b&quot;,&quot;title&quot;:&quot;Standard for Verification and Validation in Computational Fluid Dynamics and Heat Transfer (ASME V&amp;V 20-2009)&quot;,&quot;author&quot;:[{&quot;family&quot;:&quot;ASME&quot;,&quot;given&quot;:&quot;&quot;,&quot;parse-names&quot;:false,&quot;dropping-particle&quot;:&quot;&quot;,&quot;non-dropping-particle&quot;:&quot;&quot;}],&quot;issued&quot;:{&quot;date-parts&quot;:[[2009]]},&quot;publisher-place&quot;:&quot;New York&quot;,&quot;container-title-short&quot;:&quot;&quot;},&quot;isTemporary&quot;:false,&quot;suppress-author&quot;:false,&quot;composite&quot;:false,&quot;author-only&quot;:false}]},{&quot;citationID&quot;:&quot;MENDELEY_CITATION_7fdb65e2-257c-42e5-b403-503e9662fc13&quot;,&quot;properties&quot;:{&quot;noteIndex&quot;:0},&quot;isEdited&quot;:false,&quot;manualOverride&quot;:{&quot;isManuallyOverridden&quot;:true,&quot;citeprocText&quot;:&quot;(Hariharan et al., 2017a)&quot;,&quot;manualOverrideText&quot;:&quot;(Hariharan et al., 2017)&quot;},&quot;citationTag&quot;:&quot;MENDELEY_CITATION_v3_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&quot;,&quot;citationItems&quot;:[{&quot;id&quot;:&quot;f13c14aa-ff77-3f7d-97f6-fb830ea51ed0&quot;,&quot;itemData&quot;:{&quot;type&quot;:&quot;article-journal&quot;,&quot;id&quot;:&quot;f13c14aa-ff77-3f7d-97f6-fb830ea51ed0&quot;,&quot;title&quot;:&quot;Use of the FDA nozzle model to illustrate validation techniques in computational fluid dynamics (CFD) simulations&quot;,&quot;author&quot;:[{&quot;family&quot;:&quot;Hariharan&quot;,&quot;given&quot;:&quot;Prasanna&quot;,&quot;parse-names&quot;:false,&quot;dropping-particle&quot;:&quot;&quot;,&quot;non-dropping-particle&quot;:&quot;&quot;},{&quot;family&quot;:&quot;D’Souza&quot;,&quot;given&quot;:&quot;Gavin A.&quot;,&quot;parse-names&quot;:false,&quot;dropping-particle&quot;:&quot;&quot;,&quot;non-dropping-particle&quot;:&quot;&quot;},{&quot;family&quot;:&quot;Horner&quot;,&quot;given&quot;:&quot;Marc&quot;,&quot;parse-names&quot;:false,&quot;dropping-particle&quot;:&quot;&quot;,&quot;non-dropping-particle&quot;:&quot;&quot;},{&quot;family&quot;:&quot;Morrison&quot;,&quot;given&quot;:&quot;Tina M.&quot;,&quot;parse-names&quot;:false,&quot;dropping-particle&quot;:&quot;&quot;,&quot;non-dropping-particle&quot;:&quot;&quot;},{&quot;family&quot;:&quot;Malinauskas&quot;,&quot;given&quot;:&quot;Richard A.&quot;,&quot;parse-names&quot;:false,&quot;dropping-particle&quot;:&quot;&quot;,&quot;non-dropping-particle&quot;:&quot;&quot;},{&quot;family&quot;:&quot;Myers&quot;,&quot;given&quot;:&quot;Matthew R.&quot;,&quot;parse-names&quot;:false,&quot;dropping-particle&quot;:&quot;&quot;,&quot;non-dropping-particle&quot;:&quot;&quot;}],&quot;container-title&quot;:&quot;PLOS ONE&quot;,&quot;container-title-short&quot;:&quot;PLoS One&quot;,&quot;DOI&quot;:&quot;10.1371/journal.pone.0178749&quot;,&quot;ISSN&quot;:&quot;1932-6203&quot;,&quot;issued&quot;:{&quot;date-parts&quot;:[[2017,6,8]]},&quot;page&quot;:&quot;e0178749&quot;,&quot;issue&quot;:&quot;6&quot;,&quot;volume&quot;:&quot;12&quot;},&quot;isTemporary&quot;:false,&quot;suppress-author&quot;:false,&quot;composite&quot;:false,&quot;author-only&quot;:false}]},{&quot;citationID&quot;:&quot;MENDELEY_CITATION_1e580ee3-0338-4840-a1aa-50ba3ba19171&quot;,&quot;properties&quot;:{&quot;noteIndex&quot;:0},&quot;isEdited&quot;:false,&quot;manualOverride&quot;:{&quot;isManuallyOverridden&quot;:false,&quot;citeprocText&quot;:&quot;(ASME, 2009)&quot;,&quot;manualOverrideText&quot;:&quot;&quot;},&quot;citationTag&quot;:&quot;MENDELEY_CITATION_v3_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&quot;,&quot;citationItems&quot;:[{&quot;id&quot;:&quot;af6b46a1-93ed-35a8-80ae-671ca8bc1e4b&quot;,&quot;itemData&quot;:{&quot;type&quot;:&quot;report&quot;,&quot;id&quot;:&quot;af6b46a1-93ed-35a8-80ae-671ca8bc1e4b&quot;,&quot;title&quot;:&quot;Standard for Verification and Validation in Computational Fluid Dynamics and Heat Transfer (ASME V&amp;V 20-2009)&quot;,&quot;author&quot;:[{&quot;family&quot;:&quot;ASME&quot;,&quot;given&quot;:&quot;&quot;,&quot;parse-names&quot;:false,&quot;dropping-particle&quot;:&quot;&quot;,&quot;non-dropping-particle&quot;:&quot;&quot;}],&quot;issued&quot;:{&quot;date-parts&quot;:[[2009]]},&quot;publisher-place&quot;:&quot;New York&quot;,&quot;container-title-short&quot;:&quot;&quot;},&quot;isTemporary&quot;:false,&quot;suppress-author&quot;:false,&quot;composite&quot;:false,&quot;author-only&quot;:false}]},{&quot;citationID&quot;:&quot;MENDELEY_CITATION_947239de-ba59-411e-92af-3e7427122ec7&quot;,&quot;properties&quot;:{&quot;noteIndex&quot;:0},&quot;isEdited&quot;:false,&quot;manualOverride&quot;:{&quot;isManuallyOverridden&quot;:false,&quot;citeprocText&quot;:&quot;(FDA, 2016)&quot;,&quot;manualOverrideText&quot;:&quot;&quot;},&quot;citationTag&quot;:&quot;MENDELEY_CITATION_v3_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&quot;,&quot;citationItems&quot;:[{&quot;id&quot;:&quot;52fcabe6-c3e3-3dcd-86f7-05388b4647c5&quot;,&quot;itemData&quot;:{&quot;type&quot;:&quot;report&quot;,&quot;id&quot;:&quot;52fcabe6-c3e3-3dcd-86f7-05388b4647c5&quot;,&quot;title&quot;:&quot;Reporting of Computational Modeling Studies in Medical Device Submissions&quot;,&quot;author&quot;:[{&quot;family&quot;:&quot;FDA&quot;,&quot;given&quot;:&quot;&quot;,&quot;parse-names&quot;:false,&quot;dropping-particle&quot;:&quot;&quot;,&quot;non-dropping-particle&quot;:&quot;&quot;}],&quot;accessed&quot;:{&quot;date-parts&quot;:[[2025,9,30]]},&quot;URL&quot;:&quot;https://www.fda.gov/media/87586/download?&quot;,&quot;issued&quot;:{&quot;date-parts&quot;:[[2016]]},&quot;publisher-place&quot;:&quot;Silver Spring, MD&quot;,&quot;abstract&quot;:&quot;Purpose: Provides recommendations on the structure, content, and presentation of computational modeling / simulation (CM&amp;S) evidence for medical device submissions, to help both industry and FDA staff in consistency of review.&quot;,&quot;container-title-short&quot;:&quot;&quot;},&quot;isTemporary&quot;:false,&quot;suppress-author&quot;:false,&quot;composite&quot;:false,&quot;author-only&quot;:false}]},{&quot;citationID&quot;:&quot;MENDELEY_CITATION_3eb21427-a9a6-4cdc-adb5-4a47411aa3cb&quot;,&quot;properties&quot;:{&quot;noteIndex&quot;:0},&quot;isEdited&quot;:false,&quot;manualOverride&quot;:{&quot;isManuallyOverridden&quot;:false,&quot;citeprocText&quot;:&quot;(ASME, 2009)&quot;,&quot;manualOverrideText&quot;:&quot;&quot;},&quot;citationTag&quot;:&quot;MENDELEY_CITATION_v3_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&quot;,&quot;citationItems&quot;:[{&quot;id&quot;:&quot;af6b46a1-93ed-35a8-80ae-671ca8bc1e4b&quot;,&quot;itemData&quot;:{&quot;type&quot;:&quot;report&quot;,&quot;id&quot;:&quot;af6b46a1-93ed-35a8-80ae-671ca8bc1e4b&quot;,&quot;title&quot;:&quot;Standard for Verification and Validation in Computational Fluid Dynamics and Heat Transfer (ASME V&amp;V 20-2009)&quot;,&quot;author&quot;:[{&quot;family&quot;:&quot;ASME&quot;,&quot;given&quot;:&quot;&quot;,&quot;parse-names&quot;:false,&quot;dropping-particle&quot;:&quot;&quot;,&quot;non-dropping-particle&quot;:&quot;&quot;}],&quot;issued&quot;:{&quot;date-parts&quot;:[[2009]]},&quot;publisher-place&quot;:&quot;New York&quot;,&quot;container-title-short&quot;:&quot;&quot;},&quot;isTemporary&quot;:false,&quot;suppress-author&quot;:false,&quot;composite&quot;:false,&quot;author-only&quot;:false}]},{&quot;citationID&quot;:&quot;MENDELEY_CITATION_21bda0de-7102-4c02-a8b0-2359f133b223&quot;,&quot;properties&quot;:{&quot;noteIndex&quot;:0},&quot;isEdited&quot;:false,&quot;manualOverride&quot;:{&quot;isManuallyOverridden&quot;:false,&quot;citeprocText&quot;:&quot;(ASME, 2018)&quot;,&quot;manualOverrideText&quot;:&quot;&quot;},&quot;citationTag&quot;:&quot;MENDELEY_CITATION_v3_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&quot;,&quot;citationItems&quot;:[{&quot;id&quot;:&quot;8679ac22-610d-3e97-bef1-65bd32eaf56f&quot;,&quot;itemData&quot;:{&quot;type&quot;:&quot;report&quot;,&quot;id&quot;:&quot;8679ac22-610d-3e97-bef1-65bd32eaf56f&quot;,&quot;title&quot;:&quot;Assessing Credibility of Computational Modelling through Verification and Validation: Application to Medical Devices (ASME V&amp;V 40-2018)&quot;,&quot;author&quot;:[{&quot;family&quot;:&quot;ASME&quot;,&quot;given&quot;:&quot;&quot;,&quot;parse-names&quot;:false,&quot;dropping-particle&quot;:&quot;&quot;,&quot;non-dropping-particle&quot;:&quot;&quot;}],&quot;issued&quot;:{&quot;date-parts&quot;:[[2018]]},&quot;publisher-place&quot;:&quot;New York&quot;,&quot;container-title-short&quot;:&quot;&quot;},&quot;isTemporary&quot;:false,&quot;suppress-author&quot;:false,&quot;composite&quot;:false,&quot;author-only&quot;:false}]},{&quot;citationID&quot;:&quot;MENDELEY_CITATION_4402c64f-b267-43b4-9952-c352538e73b9&quot;,&quot;properties&quot;:{&quot;noteIndex&quot;:0},&quot;isEdited&quot;:false,&quot;manualOverride&quot;:{&quot;isManuallyOverridden&quot;:false,&quot;citeprocText&quot;:&quot;(FDA, 2023)&quot;,&quot;manualOverrideText&quot;:&quot;&quot;},&quot;citationTag&quot;:&quot;MENDELEY_CITATION_v3_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&quot;,&quot;citationItems&quot;:[{&quot;id&quot;:&quot;ce6f3ce8-8ea2-389e-985f-b7a0bea0d26f&quot;,&quot;itemData&quot;:{&quot;type&quot;:&quot;report&quot;,&quot;id&quot;:&quot;ce6f3ce8-8ea2-389e-985f-b7a0bea0d26f&quot;,&quot;title&quot;:&quot;Assessing the Credibility of Computational Modeling and Simulation in Medical Device Submissions&quot;,&quot;author&quot;:[{&quot;family&quot;:&quot;FDA&quot;,&quot;given&quot;:&quot;&quot;,&quot;parse-names&quot;:false,&quot;dropping-particle&quot;:&quot;&quot;,&quot;non-dropping-particle&quot;:&quot;&quot;}],&quot;accessed&quot;:{&quot;date-parts&quot;:[[2025,9,30]]},&quot;URL&quot;:&quot;https://www.fda.gov/media/154985/download?&quot;,&quot;issued&quot;:{&quot;date-parts&quot;:[[2023]]},&quot;publisher-place&quot;:&quot;Silver Spring, MD&quot;,&quot;container-title-short&quot;:&quot;&quot;},&quot;isTemporary&quot;:false,&quot;suppress-author&quot;:false,&quot;composite&quot;:false,&quot;author-only&quot;:false}]},{&quot;citationID&quot;:&quot;MENDELEY_CITATION_31f2275f-be46-4500-a4fa-1e7e200d1f67&quot;,&quot;properties&quot;:{&quot;noteIndex&quot;:0},&quot;isEdited&quot;:false,&quot;manualOverride&quot;:{&quot;isManuallyOverridden&quot;:false,&quot;citeprocText&quot;:&quot;(ASME, 2018)&quot;,&quot;manualOverrideText&quot;:&quot;&quot;},&quot;citationTag&quot;:&quot;MENDELEY_CITATION_v3_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&quot;,&quot;citationItems&quot;:[{&quot;id&quot;:&quot;8679ac22-610d-3e97-bef1-65bd32eaf56f&quot;,&quot;itemData&quot;:{&quot;type&quot;:&quot;report&quot;,&quot;id&quot;:&quot;8679ac22-610d-3e97-bef1-65bd32eaf56f&quot;,&quot;title&quot;:&quot;Assessing Credibility of Computational Modelling through Verification and Validation: Application to Medical Devices (ASME V&amp;V 40-2018)&quot;,&quot;author&quot;:[{&quot;family&quot;:&quot;ASME&quot;,&quot;given&quot;:&quot;&quot;,&quot;parse-names&quot;:false,&quot;dropping-particle&quot;:&quot;&quot;,&quot;non-dropping-particle&quot;:&quot;&quot;}],&quot;issued&quot;:{&quot;date-parts&quot;:[[2018]]},&quot;publisher-place&quot;:&quot;New York&quot;,&quot;container-title-short&quot;:&quot;&quot;},&quot;isTemporary&quot;:false,&quot;suppress-author&quot;:false,&quot;composite&quot;:false,&quot;author-only&quot;:false}]},{&quot;citationID&quot;:&quot;MENDELEY_CITATION_ebb25376-b69b-47bb-821a-4252f492957e&quot;,&quot;properties&quot;:{&quot;noteIndex&quot;:0},&quot;isEdited&quot;:false,&quot;manualOverride&quot;:{&quot;isManuallyOverridden&quot;:false,&quot;citeprocText&quot;:&quot;(OECD, 2021)&quot;,&quot;manualOverrideText&quot;:&quot;&quot;},&quot;citationTag&quot;:&quot;MENDELEY_CITATION_v3_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&quot;,&quot;citationItems&quot;:[{&quot;id&quot;:&quot;3289b0bd-8e31-38be-91ae-df8987715a31&quot;,&quot;itemData&quot;:{&quot;type&quot;:&quot;report&quot;,&quot;id&quot;:&quot;3289b0bd-8e31-38be-91ae-df8987715a31&quot;,&quot;title&quot;:&quot;Guidance Document on the Characterisation, Validation and Reporting of Physiologically Based Kinetic (PBK) Models for Regulatory Purposes&quot;,&quot;author&quot;:[{&quot;family&quot;:&quot;OECD&quot;,&quot;given&quot;:&quot;&quot;,&quot;parse-names&quot;:false,&quot;dropping-particle&quot;:&quot;&quot;,&quot;non-dropping-particle&quot;:&quot;&quot;}],&quot;accessed&quot;:{&quot;date-parts&quot;:[[2025,9,30]]},&quot;URL&quot;:&quot;https://www.oecd.org/content/dam/oecd/en/publications/reports/2021/02/guidance-document-on-the-characterisation-validation-and-reporting-of-physiologically-based-kinetic-pbk-models-for-regulatory-purposes_670da2f4/d0de241f-en.pdf&quot;,&quot;issued&quot;:{&quot;date-parts&quot;:[[2021]]},&quot;publisher-place&quot;:&quot;Paris&quot;,&quot;container-title-short&quot;:&quot;&quot;},&quot;isTemporary&quot;:false,&quot;suppress-author&quot;:false,&quot;composite&quot;:false,&quot;author-only&quot;:false}]},{&quot;citationID&quot;:&quot;MENDELEY_CITATION_c7598a0a-f4a7-4be7-ae66-79641aa4af8c&quot;,&quot;properties&quot;:{&quot;noteIndex&quot;:0},&quot;isEdited&quot;:false,&quot;manualOverride&quot;:{&quot;isManuallyOverridden&quot;:false,&quot;citeprocText&quot;:&quot;(OECD, 2021)&quot;,&quot;manualOverrideText&quot;:&quot;&quot;},&quot;citationTag&quot;:&quot;MENDELEY_CITATION_v3_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&quot;,&quot;citationItems&quot;:[{&quot;id&quot;:&quot;3289b0bd-8e31-38be-91ae-df8987715a31&quot;,&quot;itemData&quot;:{&quot;type&quot;:&quot;report&quot;,&quot;id&quot;:&quot;3289b0bd-8e31-38be-91ae-df8987715a31&quot;,&quot;title&quot;:&quot;Guidance Document on the Characterisation, Validation and Reporting of Physiologically Based Kinetic (PBK) Models for Regulatory Purposes&quot;,&quot;author&quot;:[{&quot;family&quot;:&quot;OECD&quot;,&quot;given&quot;:&quot;&quot;,&quot;parse-names&quot;:false,&quot;dropping-particle&quot;:&quot;&quot;,&quot;non-dropping-particle&quot;:&quot;&quot;}],&quot;accessed&quot;:{&quot;date-parts&quot;:[[2025,9,30]]},&quot;URL&quot;:&quot;https://www.oecd.org/content/dam/oecd/en/publications/reports/2021/02/guidance-document-on-the-characterisation-validation-and-reporting-of-physiologically-based-kinetic-pbk-models-for-regulatory-purposes_670da2f4/d0de241f-en.pdf&quot;,&quot;issued&quot;:{&quot;date-parts&quot;:[[2021]]},&quot;publisher-place&quot;:&quot;Paris&quot;,&quot;container-title-short&quot;:&quot;&quot;},&quot;isTemporary&quot;:false,&quot;suppress-author&quot;:false,&quot;composite&quot;:false,&quot;author-only&quot;:false}]},{&quot;citationID&quot;:&quot;MENDELEY_CITATION_41fba7d5-ddda-4119-94d4-31141bbf06ce&quot;,&quot;properties&quot;:{&quot;noteIndex&quot;:0},&quot;isEdited&quot;:false,&quot;manualOverride&quot;:{&quot;isManuallyOverridden&quot;:false,&quot;citeprocText&quot;:&quot;(Rito Pereira et al., 2022)&quot;,&quot;manualOverrideText&quot;:&quot;&quot;},&quot;citationTag&quot;:&quot;MENDELEY_CITATION_v3_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&quot;,&quot;citationItems&quot;:[{&quot;id&quot;:&quot;82366fdb-9df5-3f66-b692-67defd2ef112&quot;,&quot;itemData&quot;:{&quot;type&quot;:&quot;article-journal&quot;,&quot;id&quot;:&quot;82366fdb-9df5-3f66-b692-67defd2ef112&quot;,&quot;title&quot;:&quot;Experimental validation of a computational fluid dynamics model using micro‐particle image velocimetry of the irrigation flow in confluent canals&quot;,&quot;author&quot;:[{&quot;family&quot;:&quot;Rito Pereira&quot;,&quot;given&quot;:&quot;Mário&quot;,&quot;parse-names&quot;:false,&quot;dropping-particle&quot;:&quot;&quot;,&quot;non-dropping-particle&quot;:&quot;&quot;},{&quot;family&quot;:&quot;Silva&quot;,&quot;given&quot;:&quot;Goncalo&quot;,&quot;parse-names&quot;:false,&quot;dropping-particle&quot;:&quot;&quot;,&quot;non-dropping-particle&quot;:&quot;&quot;},{&quot;family&quot;:&quot;Semiao&quot;,&quot;given&quot;:&quot;Viriato&quot;,&quot;parse-names&quot;:false,&quot;dropping-particle&quot;:&quot;&quot;,&quot;non-dropping-particle&quot;:&quot;&quot;},{&quot;family&quot;:&quot;Silverio&quot;,&quot;given&quot;:&quot;Vania&quot;,&quot;parse-names&quot;:false,&quot;dropping-particle&quot;:&quot;&quot;,&quot;non-dropping-particle&quot;:&quot;&quot;},{&quot;family&quot;:&quot;Martins&quot;,&quot;given&quot;:&quot;Jorge N. R.&quot;,&quot;parse-names&quot;:false,&quot;dropping-particle&quot;:&quot;&quot;,&quot;non-dropping-particle&quot;:&quot;&quot;},{&quot;family&quot;:&quot;Pascoal‐Faria&quot;,&quot;given&quot;:&quot;Paula&quot;,&quot;parse-names&quot;:false,&quot;dropping-particle&quot;:&quot;&quot;,&quot;non-dropping-particle&quot;:&quot;&quot;},{&quot;family&quot;:&quot;Alves&quot;,&quot;given&quot;:&quot;Nuno&quot;,&quot;parse-names&quot;:false,&quot;dropping-particle&quot;:&quot;&quot;,&quot;non-dropping-particle&quot;:&quot;&quot;},{&quot;family&quot;:&quot;Dias&quot;,&quot;given&quot;:&quot;Juliana R.&quot;,&quot;parse-names&quot;:false,&quot;dropping-particle&quot;:&quot;&quot;,&quot;non-dropping-particle&quot;:&quot;&quot;},{&quot;family&quot;:&quot;Ginjeira&quot;,&quot;given&quot;:&quot;António&quot;,&quot;parse-names&quot;:false,&quot;dropping-particle&quot;:&quot;&quot;,&quot;non-dropping-particle&quot;:&quot;&quot;}],&quot;container-title&quot;:&quot;International Endodontic Journal&quot;,&quot;container-title-short&quot;:&quot;Int Endod J&quot;,&quot;DOI&quot;:&quot;10.1111/iej.13827&quot;,&quot;ISSN&quot;:&quot;0143-2885&quot;,&quot;issued&quot;:{&quot;date-parts&quot;:[[2022,12,10]]},&quot;page&quot;:&quot;1394-1403&quot;,&quot;issue&quot;:&quot;12&quot;,&quot;volume&quot;:&quot;55&quot;},&quot;isTemporary&quot;:false,&quot;suppress-author&quot;:false,&quot;composite&quot;:false,&quot;author-only&quot;:false}]},{&quot;citationID&quot;:&quot;MENDELEY_CITATION_095c1c2a-629b-4f8f-b24e-2102f6c88945&quot;,&quot;properties&quot;:{&quot;noteIndex&quot;:0},&quot;isEdited&quot;:false,&quot;manualOverride&quot;:{&quot;isManuallyOverridden&quot;:false,&quot;citeprocText&quot;:&quot;(Silva et al., 2008)&quot;,&quot;manualOverrideText&quot;:&quot;&quot;},&quot;citationTag&quot;:&quot;MENDELEY_CITATION_v3_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&quot;,&quot;citationItems&quot;:[{&quot;id&quot;:&quot;ee8674c9-7417-359e-8b5e-516698bb1c8d&quot;,&quot;itemData&quot;:{&quot;type&quot;:&quot;article-journal&quot;,&quot;id&quot;:&quot;ee8674c9-7417-359e-8b5e-516698bb1c8d&quot;,&quot;title&quot;:&quot;Micro-PIV and CFD characterization of flows in a microchannel: Velocity profiles, surface roughness and Poiseuille numbers&quot;,&quot;author&quot;:[{&quot;family&quot;:&quot;Silva&quot;,&quot;given&quot;:&quot;Gonçalo&quot;,&quot;parse-names&quot;:false,&quot;dropping-particle&quot;:&quot;&quot;,&quot;non-dropping-particle&quot;:&quot;&quot;},{&quot;family&quot;:&quot;Leal&quot;,&quot;given&quot;:&quot;Nuno&quot;,&quot;parse-names&quot;:false,&quot;dropping-particle&quot;:&quot;&quot;,&quot;non-dropping-particle&quot;:&quot;&quot;},{&quot;family&quot;:&quot;Semiao&quot;,&quot;given&quot;:&quot;Viriato&quot;,&quot;parse-names&quot;:false,&quot;dropping-particle&quot;:&quot;&quot;,&quot;non-dropping-particle&quot;:&quot;&quot;}],&quot;container-title&quot;:&quot;International Journal of Heat and Fluid Flow&quot;,&quot;container-title-short&quot;:&quot;Int J Heat Fluid Flow&quot;,&quot;DOI&quot;:&quot;10.1016/j.ijheatfluidflow.2008.03.013&quot;,&quot;ISSN&quot;:&quot;0142727X&quot;,&quot;issued&quot;:{&quot;date-parts&quot;:[[2008,8]]},&quot;page&quot;:&quot;1211-1220&quot;,&quot;issue&quot;:&quot;4&quot;,&quot;volume&quot;:&quot;29&quot;},&quot;isTemporary&quot;:false,&quot;suppress-author&quot;:false,&quot;composite&quot;:false,&quot;author-only&quot;:false}]},{&quot;citationID&quot;:&quot;MENDELEY_CITATION_60359b67-f670-4c5b-9279-a5252c6f20c1&quot;,&quot;properties&quot;:{&quot;noteIndex&quot;:0},&quot;isEdited&quot;:false,&quot;manualOverride&quot;:{&quot;isManuallyOverridden&quot;:false,&quot;citeprocText&quot;:&quot;(FDA, 2016)&quot;,&quot;manualOverrideText&quot;:&quot;&quot;},&quot;citationTag&quot;:&quot;MENDELEY_CITATION_v3_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&quot;,&quot;citationItems&quot;:[{&quot;id&quot;:&quot;52fcabe6-c3e3-3dcd-86f7-05388b4647c5&quot;,&quot;itemData&quot;:{&quot;type&quot;:&quot;report&quot;,&quot;id&quot;:&quot;52fcabe6-c3e3-3dcd-86f7-05388b4647c5&quot;,&quot;title&quot;:&quot;Reporting of Computational Modeling Studies in Medical Device Submissions&quot;,&quot;author&quot;:[{&quot;family&quot;:&quot;FDA&quot;,&quot;given&quot;:&quot;&quot;,&quot;parse-names&quot;:false,&quot;dropping-particle&quot;:&quot;&quot;,&quot;non-dropping-particle&quot;:&quot;&quot;}],&quot;accessed&quot;:{&quot;date-parts&quot;:[[2025,9,30]]},&quot;URL&quot;:&quot;https://www.fda.gov/media/87586/download?&quot;,&quot;issued&quot;:{&quot;date-parts&quot;:[[2016]]},&quot;publisher-place&quot;:&quot;Silver Spring, MD&quot;,&quot;abstract&quot;:&quot;Purpose: Provides recommendations on the structure, content, and presentation of computational modeling / simulation (CM&amp;S) evidence for medical device submissions, to help both industry and FDA staff in consistency of review.&quot;,&quot;container-title-short&quot;:&quot;&quot;},&quot;isTemporary&quot;:false,&quot;suppress-author&quot;:false,&quot;composite&quot;:false,&quot;author-only&quot;:false}]},{&quot;citationID&quot;:&quot;MENDELEY_CITATION_fcad60d5-3d55-4b20-ab93-80dd22f816ae&quot;,&quot;properties&quot;:{&quot;noteIndex&quot;:0},&quot;isEdited&quot;:false,&quot;manualOverride&quot;:{&quot;isManuallyOverridden&quot;:false,&quot;citeprocText&quot;:&quot;(Marturano-Kruik et al., 2018)&quot;,&quot;manualOverrideText&quot;:&quot;&quot;},&quot;citationTag&quot;:&quot;MENDELEY_CITATION_v3_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&quot;,&quot;citationItems&quot;:[{&quot;id&quot;:&quot;34c613e3-b205-3f51-9772-d15d24d4ed96&quot;,&quot;itemData&quot;:{&quot;type&quot;:&quot;article-journal&quot;,&quot;id&quot;:&quot;34c613e3-b205-3f51-9772-d15d24d4ed96&quot;,&quot;title&quot;:&quot;Human bone perivascular niche-on-a-chip for studying metastatic colonization&quot;,&quot;author&quot;:[{&quot;family&quot;:&quot;Marturano-Kruik&quot;,&quot;given&quot;:&quot;Alessandro&quot;,&quot;parse-names&quot;:false,&quot;dropping-particle&quot;:&quot;&quot;,&quot;non-dropping-particle&quot;:&quot;&quot;},{&quot;family&quot;:&quot;Nava&quot;,&quot;given&quot;:&quot;Michele Maria&quot;,&quot;parse-names&quot;:false,&quot;dropping-particle&quot;:&quot;&quot;,&quot;non-dropping-particle&quot;:&quot;&quot;},{&quot;family&quot;:&quot;Yeager&quot;,&quot;given&quot;:&quot;Keith&quot;,&quot;parse-names&quot;:false,&quot;dropping-particle&quot;:&quot;&quot;,&quot;non-dropping-particle&quot;:&quot;&quot;},{&quot;family&quot;:&quot;Chramiec&quot;,&quot;given&quot;:&quot;Alan&quot;,&quot;parse-names&quot;:false,&quot;dropping-particle&quot;:&quot;&quot;,&quot;non-dropping-particle&quot;:&quot;&quot;},{&quot;family&quot;:&quot;Hao&quot;,&quot;given&quot;:&quot;Luke&quot;,&quot;parse-names&quot;:false,&quot;dropping-particle&quot;:&quot;&quot;,&quot;non-dropping-particle&quot;:&quot;&quot;},{&quot;family&quot;:&quot;Robinson&quot;,&quot;given&quot;:&quot;Samuel&quot;,&quot;parse-names&quot;:false,&quot;dropping-particle&quot;:&quot;&quot;,&quot;non-dropping-particle&quot;:&quot;&quot;},{&quot;family&quot;:&quot;Guo&quot;,&quot;given&quot;:&quot;Edward&quot;,&quot;parse-names&quot;:false,&quot;dropping-particle&quot;:&quot;&quot;,&quot;non-dropping-particle&quot;:&quot;&quot;},{&quot;family&quot;:&quot;Raimondi&quot;,&quot;given&quot;:&quot;Manuela Teresa&quot;,&quot;parse-names&quot;:false,&quot;dropping-particle&quot;:&quot;&quot;,&quot;non-dropping-particle&quot;:&quot;&quot;},{&quot;family&quot;:&quot;Vunjak-Novakovic&quot;,&quot;given&quot;:&quot;Gordana&quot;,&quot;parse-names&quot;:false,&quot;dropping-particle&quot;:&quot;&quot;,&quot;non-dropping-particle&quot;:&quot;&quot;}],&quot;container-title&quot;:&quot;Proceedings of the National Academy of Sciences&quot;,&quot;DOI&quot;:&quot;10.1073/pnas.1714282115&quot;,&quot;ISSN&quot;:&quot;0027-8424&quot;,&quot;issued&quot;:{&quot;date-parts&quot;:[[2018,2,6]]},&quot;page&quot;:&quot;1256-1261&quot;,&quot;abstract&quot;:&quot;&lt;p&gt;Improved human preclinical models are needed to better predict patients’ responses to anticancer drugs. Increasing the complexity of models may be a successful strategy only if crucial components of a tumor are identified, replicated, and controlled in vitro. We developed a perivascular niche to study metastatic colonization of the bone. Using a microfluidic chip, we exposed the niche to interstitial flow, oxygen gradients, and external forces, and established a dense vascular network. Cancer cells colonizing the bone resisted targeted therapy by entering a slow proliferative state. We expect that microfluidic niche-on-chip models will facilitate the development of drugs targeting persistent tumor cells into the bone and help manage the risk of metastatic relapse.&lt;/p&gt;&quot;,&quot;issue&quot;:&quot;6&quot;,&quot;volume&quot;:&quot;115&quot;,&quot;container-title-short&quot;:&quot;&quot;},&quot;isTemporary&quot;:false,&quot;suppress-author&quot;:false,&quot;composite&quot;:false,&quot;author-only&quot;:false}]},{&quot;citationID&quot;:&quot;MENDELEY_CITATION_ba4f7993-5811-49ff-88d0-78b1c178046c&quot;,&quot;properties&quot;:{&quot;noteIndex&quot;:0},&quot;isEdited&quot;:false,&quot;manualOverride&quot;:{&quot;isManuallyOverridden&quot;:false,&quot;citeprocText&quot;:&quot;(Tonon et al., 2019)&quot;,&quot;manualOverrideText&quot;:&quot;&quot;},&quot;citationTag&quot;:&quot;MENDELEY_CITATION_v3_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&quot;,&quot;citationItems&quot;:[{&quot;id&quot;:&quot;08579681-e67c-3001-a84c-bcecbd0c080b&quot;,&quot;itemData&quot;:{&quot;type&quot;:&quot;article-journal&quot;,&quot;id&quot;:&quot;08579681-e67c-3001-a84c-bcecbd0c080b&quot;,&quot;title&quot;:&quot;In vitro metabolic zonation through oxygen gradient on a chip&quot;,&quot;author&quot;:[{&quot;family&quot;:&quot;Tonon&quot;,&quot;given&quot;:&quot;Federica&quot;,&quot;parse-names&quot;:false,&quot;dropping-particle&quot;:&quot;&quot;,&quot;non-dropping-particle&quot;:&quot;&quot;},{&quot;family&quot;:&quot;Giobbe&quot;,&quot;given&quot;:&quot;Giovanni Giuseppe&quot;,&quot;parse-names&quot;:false,&quot;dropping-particle&quot;:&quot;&quot;,&quot;non-dropping-particle&quot;:&quot;&quot;},{&quot;family&quot;:&quot;Zambon&quot;,&quot;given&quot;:&quot;Alessandro&quot;,&quot;parse-names&quot;:false,&quot;dropping-particle&quot;:&quot;&quot;,&quot;non-dropping-particle&quot;:&quot;&quot;},{&quot;family&quot;:&quot;Luni&quot;,&quot;given&quot;:&quot;Camilla&quot;,&quot;parse-names&quot;:false,&quot;dropping-particle&quot;:&quot;&quot;,&quot;non-dropping-particle&quot;:&quot;&quot;},{&quot;family&quot;:&quot;Gagliano&quot;,&quot;given&quot;:&quot;Onelia&quot;,&quot;parse-names&quot;:false,&quot;dropping-particle&quot;:&quot;&quot;,&quot;non-dropping-particle&quot;:&quot;&quot;},{&quot;family&quot;:&quot;Floreani&quot;,&quot;given&quot;:&quot;Annarosa&quot;,&quot;parse-names&quot;:false,&quot;dropping-particle&quot;:&quot;&quot;,&quot;non-dropping-particle&quot;:&quot;&quot;},{&quot;family&quot;:&quot;Grassi&quot;,&quot;given&quot;:&quot;Gabriele&quot;,&quot;parse-names&quot;:false,&quot;dropping-particle&quot;:&quot;&quot;,&quot;non-dropping-particle&quot;:&quot;&quot;},{&quot;family&quot;:&quot;Elvassore&quot;,&quot;given&quot;:&quot;Nicola&quot;,&quot;parse-names&quot;:false,&quot;dropping-particle&quot;:&quot;&quot;,&quot;non-dropping-particle&quot;:&quot;&quot;}],&quot;container-title&quot;:&quot;Scientific Reports&quot;,&quot;container-title-short&quot;:&quot;Sci Rep&quot;,&quot;DOI&quot;:&quot;10.1038/s41598-019-49412-6&quot;,&quot;ISSN&quot;:&quot;2045-2322&quot;,&quot;issued&quot;:{&quot;date-parts&quot;:[[2019,9,19]]},&quot;page&quot;:&quot;13557&quot;,&quot;abstract&quot;:&quot;&lt;p&gt; Among the multiple metabolic signals involved in the establishment of the hepatic zonation, oxygen could play a key role. Indeed, depending on hepatocyte position in the hepatic lobule, gene expression and metabolism are differently affected by the oxygen gradient present across the lobule. The aim of this study is to understand whether an oxygen gradient, generated &lt;italic&gt;in vitro&lt;/italic&gt; in our developed device, is sufficient to instruct a functional metabolic zonation during the differentiation of human embryonic stem cells (hESCs) from endoderm toward terminally differentiated hepatocytes, thus mimicking the &lt;italic&gt;in vivo&lt;/italic&gt; situation. For this purpose, a microfluidic device was designed for the generation of a stable oxygen gradient. The oxygen gradient was applied to differentiating hESCs at the pre-hepatoblast stage. The definitive endoderm and hepatic endoderm cells were characterized by the expression of the transcription factor SOX-17 and alpha-fetoprotein (AFP). Immature and mature hepatocytes were characterized by hepatocyte nuclear factor 4-alpha (HNF-4α) and albumin (ALB) expression and also analyzed for cytochrome P450 (CYP3A4) zonation and glycogen accumulation through PAS staining. Metabolic zonated genes expression was assessed through quantitative real time PCR. Application of the oxygen gradient during differentiation induced zonated glycogen storage, which was higher in the hepatocytes grown in high pO &lt;sub&gt;2&lt;/sub&gt; compared to those grown in low pO &lt;sub&gt;2&lt;/sub&gt; . The mRNA levels of glutamine synthetase (GLUL), beta-catenin (CTNNB) and its direct target cyclin D1 (CCND1) showed significantly higher expression in the cells grown in low pO &lt;sub&gt;2&lt;/sub&gt; compared to those grown in high pO &lt;sub&gt;2&lt;/sub&gt; . On the contrary, carbamoyl-phosphate synthetase 1 (CPS1), ALB, the proliferative marker ki67 (MKI67) and cyclin A (CCNA) resulted to be significantly higher expressed in cells cultured in high pO &lt;sub&gt;2&lt;/sub&gt; compared to those cultured in low pO &lt;sub&gt;2&lt;/sub&gt; . These results indicate that the oxygen gradient generated in our device can instruct the establishment of a functional metabolic zonation in differentiating hESCs. The possibility to obtain differentiated hepatocytes &lt;italic&gt;in vitro&lt;/italic&gt; may allow in the future to deepen our knowledge about the physiology/pathology of hepatocytes in relation to the oxygen content. &lt;/p&gt;&quot;,&quot;issue&quot;:&quot;1&quot;,&quot;volume&quot;:&quot;9&quot;},&quot;isTemporary&quot;:false,&quot;suppress-author&quot;:false,&quot;composite&quot;:false,&quot;author-only&quot;:false}]},{&quot;citationID&quot;:&quot;MENDELEY_CITATION_ba84dc57-15f3-4684-9080-18f103578432&quot;,&quot;properties&quot;:{&quot;noteIndex&quot;:0},&quot;isEdited&quot;:false,&quot;manualOverride&quot;:{&quot;isManuallyOverridden&quot;:false,&quot;citeprocText&quot;:&quot;(Ando et al., 2017)&quot;,&quot;manualOverrideText&quot;:&quot;&quot;},&quot;citationTag&quot;:&quot;MENDELEY_CITATION_v3_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&quot;,&quot;citationItems&quot;:[{&quot;id&quot;:&quot;cdc2e795-9ee2-328a-9ea1-8629d55f574b&quot;,&quot;itemData&quot;:{&quot;type&quot;:&quot;article-journal&quot;,&quot;id&quot;:&quot;cdc2e795-9ee2-328a-9ea1-8629d55f574b&quot;,&quot;title&quot;:&quot;A Microdevice Platform Recapitulating Hypoxic Tumor Microenvironments&quot;,&quot;author&quot;:[{&quot;family&quot;:&quot;Ando&quot;,&quot;given&quot;:&quot;Yuta&quot;,&quot;parse-names&quot;:false,&quot;dropping-particle&quot;:&quot;&quot;,&quot;non-dropping-particle&quot;:&quot;&quot;},{&quot;family&quot;:&quot;Ta&quot;,&quot;given&quot;:&quot;Hoang P.&quot;,&quot;parse-names&quot;:false,&quot;dropping-particle&quot;:&quot;&quot;,&quot;non-dropping-particle&quot;:&quot;&quot;},{&quot;family&quot;:&quot;Yen&quot;,&quot;given&quot;:&quot;Daniel P.&quot;,&quot;parse-names&quot;:false,&quot;dropping-particle&quot;:&quot;&quot;,&quot;non-dropping-particle&quot;:&quot;&quot;},{&quot;family&quot;:&quot;Lee&quot;,&quot;given&quot;:&quot;Sang-Sin&quot;,&quot;parse-names&quot;:false,&quot;dropping-particle&quot;:&quot;&quot;,&quot;non-dropping-particle&quot;:&quot;&quot;},{&quot;family&quot;:&quot;Raola&quot;,&quot;given&quot;:&quot;Sneha&quot;,&quot;parse-names&quot;:false,&quot;dropping-particle&quot;:&quot;&quot;,&quot;non-dropping-particle&quot;:&quot;&quot;},{&quot;family&quot;:&quot;Shen&quot;,&quot;given&quot;:&quot;Keyue&quot;,&quot;parse-names&quot;:false,&quot;dropping-particle&quot;:&quot;&quot;,&quot;non-dropping-particle&quot;:&quot;&quot;}],&quot;container-title&quot;:&quot;Scientific Reports&quot;,&quot;container-title-short&quot;:&quot;Sci Rep&quot;,&quot;DOI&quot;:&quot;10.1038/s41598-017-15583-3&quot;,&quot;ISSN&quot;:&quot;2045-2322&quot;,&quot;issued&quot;:{&quot;date-parts&quot;:[[2017,11,9]]},&quot;page&quot;:&quot;15233&quot;,&quot;abstract&quot;:&quot;&lt;p&gt;Hypoxia plays a central role in cancer progression and resistance to therapy. We have engineered a microdevice platform to recapitulate the intratumor oxygen gradients that drive the heterogeneous hypoxic landscapes in solid tumors. Our design features a “tumor section”-like culture by incorporating a cell layer between two diffusion barriers, where an oxygen gradient is established by cellular metabolism and physical constraints. We confirmed the oxygen gradient by numerical simulation and imaging-based oxygen sensor measurement. We also demonstrated spatially-resolved hypoxic signaling in cancer cells through immunostaining, gene expression assay, and hypoxia-targeted drug treatment. Our platform can accurately generate and control oxygen gradients, eliminates complex microfluidic handling, allows for incorporation of additional tumor components, and is compatible with high-content imaging and high-throughput applications. It is well suited for understanding hypoxia-mediated mechanisms in cancer disease and other biological processes, and discovery of new therapeutics.&lt;/p&gt;&quot;,&quot;issue&quot;:&quot;1&quot;,&quot;volume&quot;:&quot;7&quot;},&quot;isTemporary&quot;:false,&quot;suppress-author&quot;:false,&quot;composite&quot;:false,&quot;author-only&quot;:false}]},{&quot;citationID&quot;:&quot;MENDELEY_CITATION_4b35f687-f550-4175-b75c-46c241a249bf&quot;,&quot;properties&quot;:{&quot;noteIndex&quot;:0},&quot;isEdited&quot;:false,&quot;manualOverride&quot;:{&quot;isManuallyOverridden&quot;:false,&quot;citeprocText&quot;:&quot;(Guidance Document on Good In Vitro Method Practices (GIVIMP), 2018)&quot;,&quot;manualOverrideText&quot;:&quot;&quot;},&quot;citationTag&quot;:&quot;MENDELEY_CITATION_v3_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&quot;,&quot;citationItems&quot;:[{&quot;id&quot;:&quot;1bfc099f-7487-3103-b896-ae7cef98903b&quot;,&quot;itemData&quot;:{&quot;type&quot;:&quot;report&quot;,&quot;id&quot;:&quot;1bfc099f-7487-3103-b896-ae7cef98903b&quot;,&quot;title&quot;:&quot;Guidance Document on Good In Vitro Method Practices (GIVIMP)&quot;,&quot;ISBN&quot;:&quot;9789264304796&quot;,&quot;issued&quot;:{&quot;date-parts&quot;:[[2018]]},&quot;publisher-place&quot;:&quot;Paris&quot;,&quot;number-of-pages&quot;:&quot;128-136&quot;,&quot;abstract&quot;:&quot;Roles and responsibilities -- Storage and retention of records and materials -- Biokinetics and xenobiotic bioavailability -- Good Cell Culture Practice for stem cells and stem-cell-derived models -- Facilities -- Good Laboratory Practice -- About the OECD -- OECD GIVIMP meeting 23-24 March, 2017 -- participating experts -- Test systems -- Standard operating procedures -- Introduction -- Glossary -- Solubility -- List of viability testing methods (non-inclusive) of cell cultures -- Scope -- Reporting of results -- Standardisation and accreditation bodies -- Quality considerations -- Good Cell Culture Practice (GCCP) -- Test and reference/control items -- EURL ECVAM GIVIMP meeting 24-25 February 2015 -- participating experts -- Apparatus, material and reagents -- Executive summary -- Performance of the method -- Foreword.&quot;,&quot;container-title-short&quot;:&quot;&quot;},&quot;isTemporary&quot;:false,&quot;suppress-author&quot;:false,&quot;composite&quot;:false,&quot;author-only&quot;:false}]},{&quot;citationID&quot;:&quot;MENDELEY_CITATION_6be16678-6b77-4387-a82e-70f056125cef&quot;,&quot;properties&quot;:{&quot;noteIndex&quot;:0},&quot;isEdited&quot;:false,&quot;manualOverride&quot;:{&quot;isManuallyOverridden&quot;:false,&quot;citeprocText&quot;:&quot;(Rexius-Hall et al., 2017)&quot;,&quot;manualOverrideText&quot;:&quot;&quot;},&quot;citationTag&quot;:&quot;MENDELEY_CITATION_v3_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&quot;,&quot;citationItems&quot;:[{&quot;id&quot;:&quot;c2f04eee-0be0-3602-b597-c01e63aca646&quot;,&quot;itemData&quot;:{&quot;type&quot;:&quot;article-journal&quot;,&quot;id&quot;:&quot;c2f04eee-0be0-3602-b597-c01e63aca646&quot;,&quot;title&quot;:&quot;A microfluidic oxygen gradient demonstrates differential activation of the hypoxia-regulated transcription factors HIF-1α and HIF-2α&quot;,&quot;author&quot;:[{&quot;family&quot;:&quot;Rexius-Hall&quot;,&quot;given&quot;:&quot;Megan L.&quot;,&quot;parse-names&quot;:false,&quot;dropping-particle&quot;:&quot;&quot;,&quot;non-dropping-particle&quot;:&quot;&quot;},{&quot;family&quot;:&quot;Rehman&quot;,&quot;given&quot;:&quot;Jalees&quot;,&quot;parse-names&quot;:false,&quot;dropping-particle&quot;:&quot;&quot;,&quot;non-dropping-particle&quot;:&quot;&quot;},{&quot;family&quot;:&quot;Eddington&quot;,&quot;given&quot;:&quot;David T.&quot;,&quot;parse-names&quot;:false,&quot;dropping-particle&quot;:&quot;&quot;,&quot;non-dropping-particle&quot;:&quot;&quot;}],&quot;container-title&quot;:&quot;Integrative Biology&quot;,&quot;DOI&quot;:&quot;10.1039/C7IB00099E&quot;,&quot;ISSN&quot;:&quot;1757-9694&quot;,&quot;issued&quot;:{&quot;date-parts&quot;:[[2017]]},&quot;page&quot;:&quot;742-750&quot;,&quot;abstract&quot;:&quot;&lt;p&gt;Gas control microfluidics demonstrate differences between HIF-1α and HIF-2α activation in a linear spatial oxygen gradient.&lt;/p&gt;&quot;,&quot;issue&quot;:&quot;9&quot;,&quot;volume&quot;:&quot;9&quot;,&quot;container-title-short&quot;:&quot;&quot;},&quot;isTemporary&quot;:false,&quot;suppress-author&quot;:false,&quot;composite&quot;:false,&quot;author-only&quot;:false}]},{&quot;citationID&quot;:&quot;MENDELEY_CITATION_c4021ec9-3e8e-4dc8-8b43-cf51abf50be7&quot;,&quot;properties&quot;:{&quot;noteIndex&quot;:0},&quot;isEdited&quot;:false,&quot;manualOverride&quot;:{&quot;isManuallyOverridden&quot;:false,&quot;citeprocText&quot;:&quot;(Hariharan et al., 2017b)&quot;,&quot;manualOverrideText&quot;:&quot;&quot;},&quot;citationTag&quot;:&quot;MENDELEY_CITATION_v3_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&quot;,&quot;citationItems&quot;:[{&quot;id&quot;:&quot;3da54536-b720-357a-9a7b-1df224443465&quot;,&quot;itemData&quot;:{&quot;type&quot;:&quot;article-journal&quot;,&quot;id&quot;:&quot;3da54536-b720-357a-9a7b-1df224443465&quot;,&quot;title&quot;:&quot;Use of the FDA nozzle model to illustrate validation techniques in computational fluid dynamics (CFD) simulations&quot;,&quot;author&quot;:[{&quot;family&quot;:&quot;Hariharan&quot;,&quot;given&quot;:&quot;Prasanna&quot;,&quot;parse-names&quot;:false,&quot;dropping-particle&quot;:&quot;&quot;,&quot;non-dropping-particle&quot;:&quot;&quot;},{&quot;family&quot;:&quot;D’Souza&quot;,&quot;given&quot;:&quot;Gavin A.&quot;,&quot;parse-names&quot;:false,&quot;dropping-particle&quot;:&quot;&quot;,&quot;non-dropping-particle&quot;:&quot;&quot;},{&quot;family&quot;:&quot;Horner&quot;,&quot;given&quot;:&quot;Marc&quot;,&quot;parse-names&quot;:false,&quot;dropping-particle&quot;:&quot;&quot;,&quot;non-dropping-particle&quot;:&quot;&quot;},{&quot;family&quot;:&quot;Morrison&quot;,&quot;given&quot;:&quot;Tina M.&quot;,&quot;parse-names&quot;:false,&quot;dropping-particle&quot;:&quot;&quot;,&quot;non-dropping-particle&quot;:&quot;&quot;},{&quot;family&quot;:&quot;Malinauskas&quot;,&quot;given&quot;:&quot;Richard A.&quot;,&quot;parse-names&quot;:false,&quot;dropping-particle&quot;:&quot;&quot;,&quot;non-dropping-particle&quot;:&quot;&quot;},{&quot;family&quot;:&quot;Myers&quot;,&quot;given&quot;:&quot;Matthew R.&quot;,&quot;parse-names&quot;:false,&quot;dropping-particle&quot;:&quot;&quot;,&quot;non-dropping-particle&quot;:&quot;&quot;}],&quot;container-title&quot;:&quot;PLOS ONE&quot;,&quot;container-title-short&quot;:&quot;PLoS One&quot;,&quot;DOI&quot;:&quot;10.1371/journal.pone.0178749&quot;,&quot;ISSN&quot;:&quot;1932-6203&quot;,&quot;issued&quot;:{&quot;date-parts&quot;:[[2017,6,8]]},&quot;page&quot;:&quot;e0178749&quot;,&quot;issue&quot;:&quot;6&quot;,&quot;volume&quot;:&quot;12&quot;},&quot;isTemporary&quot;:false,&quot;suppress-author&quot;:false,&quot;composite&quot;:false,&quot;author-only&quot;:false}]},{&quot;citationID&quot;:&quot;MENDELEY_CITATION_1b1967ff-d186-4019-9b89-c50a2f7cf096&quot;,&quot;properties&quot;:{&quot;noteIndex&quot;:0},&quot;isEdited&quot;:false,&quot;manualOverride&quot;:{&quot;isManuallyOverridden&quot;:false,&quot;citeprocText&quot;:&quot;(Muhammad Jamil and Nathan Müller, n.d.)&quot;,&quot;manualOverrideText&quot;:&quot;&quot;},&quot;citationTag&quot;:&quot;MENDELEY_CITATION_v3_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&quot;,&quot;citationItems&quot;:[{&quot;id&quot;:&quot;cce40c8d-fc97-3647-a85f-86f3a1f3ac81&quot;,&quot;itemData&quot;:{&quot;type&quot;:&quot;webpage&quot;,&quot;id&quot;:&quot;cce40c8d-fc97-3647-a85f-86f3a1f3ac81&quot;,&quot;title&quot;:&quot;Computational Modelling &amp; Simulation in Medical Device Development&quot;,&quot;author&quot;:[{&quot;family&quot;:&quot;Muhammad Jamil&quot;,&quot;given&quot;:&quot;&quot;,&quot;parse-names&quot;:false,&quot;dropping-particle&quot;:&quot;&quot;,&quot;non-dropping-particle&quot;:&quot;&quot;},{&quot;family&quot;:&quot;Nathan Müller&quot;,&quot;given&quot;:&quot;&quot;,&quot;parse-names&quot;:false,&quot;dropping-particle&quot;:&quot;&quot;,&quot;non-dropping-particle&quot;:&quot;&quot;}],&quot;container-title&quot;:&quot;Starfish Medical&quot;,&quot;accessed&quot;:{&quot;date-parts&quot;:[[2025,9,30]]},&quot;URL&quot;:&quot;https://starfishmedical.com/resource/computational-modelling-simulation-medical-device-development/?&quot;,&quot;language&quot;:&quot;English&quot;,&quot;container-title-short&quot;:&quot;&quot;},&quot;isTemporary&quot;:false,&quot;suppress-author&quot;:false,&quot;composite&quot;:false,&quot;author-only&quot;:false}]}]"/>
    <we:property name="MENDELEY_CITATIONS_LOCALE_CODE" value="&quot;en-US&quot;"/>
    <we:property name="MENDELEY_CITATIONS_STYLE" value="{&quot;id&quot;:&quot;https://www.zotero.org/styles/frontiers-in-bioengineering-and-biotechnology&quot;,&quot;title&quot;:&quot;Frontiers in Bioengineering and Biotechnology&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6005759-6815-4540-b8ea-913958d74f23">FRONDOC-1086935359-10119</_dlc_DocId>
    <_dlc_DocIdUrl xmlns="26005759-6815-4540-b8ea-913958d74f23">
      <Url>https://frontiersin.sharepoint.com/Publishing/PubOps/Production/_layouts/15/DocIdRedir.aspx?ID=FRONDOC-1086935359-10119</Url>
      <Description>FRONDOC-1086935359-10119</Description>
    </_dlc_DocIdUrl>
    <_dlc_DocIdPersistId xmlns="26005759-6815-4540-b8ea-913958d74f23">false</_dlc_DocIdPersistId>
    <Description xmlns="970c08f3-bdc0-46be-888b-e62464d9f78c" xsi:nil="true"/>
    <Lead xmlns="970c08f3-bdc0-46be-888b-e62464d9f78c">
      <UserInfo>
        <DisplayName/>
        <AccountId xsi:nil="true"/>
        <AccountType/>
      </UserInfo>
    </Lead>
    <Status xmlns="970c08f3-bdc0-46be-888b-e62464d9f78c">New</Status>
    <_Flow_SignoffStatus xmlns="970c08f3-bdc0-46be-888b-e62464d9f78c" xsi:nil="true"/>
    <SharedWithUsers xmlns="26005759-6815-4540-b8ea-913958d74f23">
      <UserInfo>
        <DisplayName/>
        <AccountId xsi:nil="true"/>
        <AccountType/>
      </UserInfo>
    </SharedWithUsers>
    <lcf76f155ced4ddcb4097134ff3c332f xmlns="970c08f3-bdc0-46be-888b-e62464d9f78c">
      <Terms xmlns="http://schemas.microsoft.com/office/infopath/2007/PartnerControls"/>
    </lcf76f155ced4ddcb4097134ff3c332f>
    <TaxCatchAll xmlns="26005759-6815-4540-b8ea-913958d74f2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ct:contentTypeSchema xmlns:ct="http://schemas.microsoft.com/office/2006/metadata/contentType" xmlns:ma="http://schemas.microsoft.com/office/2006/metadata/properties/metaAttributes" ct:_="" ma:_="" ma:contentTypeName="Document" ma:contentTypeID="0x01010026445AF306EBB441B7A6158762C40D43" ma:contentTypeVersion="28" ma:contentTypeDescription="Create a new document." ma:contentTypeScope="" ma:versionID="885ac53139f20652f850277d10459b85">
  <xsd:schema xmlns:xsd="http://www.w3.org/2001/XMLSchema" xmlns:xs="http://www.w3.org/2001/XMLSchema" xmlns:p="http://schemas.microsoft.com/office/2006/metadata/properties" xmlns:ns2="26005759-6815-4540-b8ea-913958d74f23" xmlns:ns3="970c08f3-bdc0-46be-888b-e62464d9f78c" targetNamespace="http://schemas.microsoft.com/office/2006/metadata/properties" ma:root="true" ma:fieldsID="b20dbcea35cbef169bcf39aab5233ab6" ns2:_="" ns3:_="">
    <xsd:import namespace="26005759-6815-4540-b8ea-913958d74f23"/>
    <xsd:import namespace="970c08f3-bdc0-46be-888b-e62464d9f78c"/>
    <xsd:element name="properties">
      <xsd:complexType>
        <xsd:sequence>
          <xsd:element name="documentManagement">
            <xsd:complexType>
              <xsd:all>
                <xsd:element ref="ns2:_dlc_DocIdUrl" minOccurs="0"/>
                <xsd:element ref="ns2:_dlc_DocId"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DateTaken" minOccurs="0"/>
                <xsd:element ref="ns3:Status" minOccurs="0"/>
                <xsd:element ref="ns3:Lead" minOccurs="0"/>
                <xsd:element ref="ns3:Description" minOccurs="0"/>
                <xsd:element ref="ns3:_Flow_SignoffStatu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05759-6815-4540-b8ea-913958d74f23" elementFormDefault="qualified">
    <xsd:import namespace="http://schemas.microsoft.com/office/2006/documentManagement/types"/>
    <xsd:import namespace="http://schemas.microsoft.com/office/infopath/2007/PartnerControls"/>
    <xsd:element name="_dlc_DocIdUrl" ma:index="2"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7" nillable="true" ma:displayName="Document ID Value" ma:description="The value of the document ID assigned to this item." ma:hidden="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element name="TaxCatchAll" ma:index="29" nillable="true" ma:displayName="Taxonomy Catch All Column" ma:hidden="true" ma:list="{43fa7804-5c1f-47ca-a814-a80f2ff05ca7}" ma:internalName="TaxCatchAll" ma:showField="CatchAllData" ma:web="26005759-6815-4540-b8ea-913958d74f2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70c08f3-bdc0-46be-888b-e62464d9f7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hidden="true" ma:internalName="MediaServiceKeyPoints"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Status" ma:index="18" nillable="true" ma:displayName="Status" ma:default="New" ma:description="Archive function" ma:format="Dropdown" ma:internalName="Status">
      <xsd:simpleType>
        <xsd:restriction base="dms:Choice">
          <xsd:enumeration value="New"/>
          <xsd:enumeration value="Ongoing"/>
          <xsd:enumeration value="Finished"/>
        </xsd:restriction>
      </xsd:simpleType>
    </xsd:element>
    <xsd:element name="Lead" ma:index="19" nillable="true" ma:displayName="Lead"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scription" ma:index="20" nillable="true" ma:displayName="Description" ma:format="Dropdown" ma:internalName="Description">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65d274b-74f9-43c9-a5ca-fb7fe75b76d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2E0E22-D442-4EBE-AAA2-EDC8871E7B41}">
  <ds:schemaRefs>
    <ds:schemaRef ds:uri="http://schemas.microsoft.com/office/2006/metadata/properties"/>
    <ds:schemaRef ds:uri="http://schemas.microsoft.com/office/infopath/2007/PartnerControls"/>
    <ds:schemaRef ds:uri="26005759-6815-4540-b8ea-913958d74f23"/>
    <ds:schemaRef ds:uri="970c08f3-bdc0-46be-888b-e62464d9f78c"/>
  </ds:schemaRefs>
</ds:datastoreItem>
</file>

<file path=customXml/itemProps2.xml><?xml version="1.0" encoding="utf-8"?>
<ds:datastoreItem xmlns:ds="http://schemas.openxmlformats.org/officeDocument/2006/customXml" ds:itemID="{2558679B-78FB-42CD-A1EA-A99096AF5568}">
  <ds:schemaRefs>
    <ds:schemaRef ds:uri="http://schemas.microsoft.com/sharepoint/events"/>
  </ds:schemaRefs>
</ds:datastoreItem>
</file>

<file path=customXml/itemProps3.xml><?xml version="1.0" encoding="utf-8"?>
<ds:datastoreItem xmlns:ds="http://schemas.openxmlformats.org/officeDocument/2006/customXml" ds:itemID="{114314AF-3C36-4C2C-B599-40A76C6FFFC1}">
  <ds:schemaRefs>
    <ds:schemaRef ds:uri="http://schemas.openxmlformats.org/officeDocument/2006/bibliography"/>
  </ds:schemaRefs>
</ds:datastoreItem>
</file>

<file path=customXml/itemProps4.xml><?xml version="1.0" encoding="utf-8"?>
<ds:datastoreItem xmlns:ds="http://schemas.openxmlformats.org/officeDocument/2006/customXml" ds:itemID="{DFF441E3-103C-4487-877D-08CD22337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005759-6815-4540-b8ea-913958d74f23"/>
    <ds:schemaRef ds:uri="970c08f3-bdc0-46be-888b-e62464d9f7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D4929F-83D0-432F-8F82-6D4423C25F5E}">
  <ds:schemaRefs>
    <ds:schemaRef ds:uri="http://schemas.microsoft.com/sharepoint/v3/contenttype/forms"/>
  </ds:schemaRefs>
</ds:datastoreItem>
</file>

<file path=docMetadata/LabelInfo.xml><?xml version="1.0" encoding="utf-8"?>
<clbl:labelList xmlns:clbl="http://schemas.microsoft.com/office/2020/mipLabelMetadata">
  <clbl:label id="{51c18559-3f2d-49d0-8e70-dcc034abeec0}" enabled="1" method="Privileged" siteId="{43d2115b-a55e-46b6-9df7-b03388ecfc60}" removed="0"/>
</clbl:labelList>
</file>

<file path=docProps/app.xml><?xml version="1.0" encoding="utf-8"?>
<Properties xmlns="http://schemas.openxmlformats.org/officeDocument/2006/extended-properties" xmlns:vt="http://schemas.openxmlformats.org/officeDocument/2006/docPropsVTypes">
  <Template>Supplementary_Material</Template>
  <TotalTime>1</TotalTime>
  <Pages>5</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Frontiers</dc:creator>
  <cp:lastModifiedBy>Taleban, Hooman</cp:lastModifiedBy>
  <cp:revision>3</cp:revision>
  <cp:lastPrinted>2013-10-03T12:51:00Z</cp:lastPrinted>
  <dcterms:created xsi:type="dcterms:W3CDTF">2025-09-30T21:50:00Z</dcterms:created>
  <dcterms:modified xsi:type="dcterms:W3CDTF">2025-09-30T21:50:00Z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0x01010026445AF306EBB441B7A6158762C40D43</vt:lpwstr>
  </property>
  <property fmtid="{D5CDD505-2E9C-101B-9397-08002B2CF9AE}" pid="3" name="_dlc_DocIdItemGuid">
    <vt:lpwstr>f82bb101-9b00-462e-af01-9a0e7ec06274</vt:lpwstr>
  </property>
  <property fmtid="{D5CDD505-2E9C-101B-9397-08002B2CF9AE}" pid="4" name="Order">
    <vt:r8>1011900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