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B0EDA" w14:textId="77777777" w:rsidR="00D76C75" w:rsidRPr="00704E49" w:rsidRDefault="00D76C75" w:rsidP="00D76C75">
      <w:pPr>
        <w:keepNext/>
        <w:keepLines/>
        <w:widowControl/>
        <w:spacing w:before="240" w:after="240"/>
        <w:ind w:left="432"/>
        <w:jc w:val="left"/>
        <w:outlineLvl w:val="0"/>
        <w:rPr>
          <w:rFonts w:ascii="Cambria" w:eastAsia="等线 Light" w:hAnsi="Cambria" w:cs="Times New Roman"/>
          <w:b/>
          <w:bCs/>
          <w:kern w:val="0"/>
          <w:sz w:val="28"/>
          <w:szCs w:val="28"/>
        </w:rPr>
      </w:pPr>
      <w:bookmarkStart w:id="0" w:name="_Toc187861812"/>
      <w:bookmarkStart w:id="1" w:name="_Hlk166242448"/>
      <w:r w:rsidRPr="00704E49">
        <w:rPr>
          <w:rFonts w:ascii="Cambria" w:eastAsia="等线 Light" w:hAnsi="Cambria" w:cs="Times New Roman" w:hint="eastAsia"/>
          <w:b/>
          <w:bCs/>
          <w:kern w:val="0"/>
          <w:sz w:val="28"/>
          <w:szCs w:val="28"/>
        </w:rPr>
        <w:t>Supplementary information</w:t>
      </w:r>
      <w:bookmarkEnd w:id="0"/>
    </w:p>
    <w:p w14:paraId="7B358BAC" w14:textId="2DAE6EB4" w:rsidR="00D76C75" w:rsidRPr="00704E49" w:rsidRDefault="00D76C75" w:rsidP="00D76C75">
      <w:pPr>
        <w:keepNext/>
        <w:widowControl/>
        <w:spacing w:after="200"/>
        <w:jc w:val="center"/>
        <w:rPr>
          <w:rFonts w:ascii="Calibri" w:eastAsia="宋体" w:hAnsi="Calibri" w:cs="Arial"/>
          <w:b/>
          <w:bCs/>
          <w:kern w:val="0"/>
          <w:sz w:val="18"/>
          <w:szCs w:val="18"/>
          <w:lang w:eastAsia="en-US"/>
        </w:rPr>
      </w:pPr>
      <w:bookmarkStart w:id="2" w:name="_Ref187861251"/>
      <w:r w:rsidRPr="00704E49">
        <w:rPr>
          <w:rFonts w:ascii="Calibri" w:eastAsia="宋体" w:hAnsi="Calibri" w:cs="Arial"/>
          <w:b/>
          <w:bCs/>
          <w:kern w:val="0"/>
          <w:sz w:val="18"/>
          <w:szCs w:val="18"/>
          <w:lang w:eastAsia="en-US"/>
        </w:rPr>
        <w:t xml:space="preserve">Table S </w:t>
      </w:r>
      <w:r w:rsidRPr="00704E49">
        <w:rPr>
          <w:rFonts w:ascii="Calibri" w:eastAsia="宋体" w:hAnsi="Calibri" w:cs="Arial"/>
          <w:b/>
          <w:bCs/>
          <w:kern w:val="0"/>
          <w:sz w:val="18"/>
          <w:szCs w:val="18"/>
          <w:lang w:eastAsia="en-US"/>
        </w:rPr>
        <w:fldChar w:fldCharType="begin"/>
      </w:r>
      <w:r w:rsidRPr="00704E49">
        <w:rPr>
          <w:rFonts w:ascii="Calibri" w:eastAsia="宋体" w:hAnsi="Calibri" w:cs="Arial"/>
          <w:b/>
          <w:bCs/>
          <w:kern w:val="0"/>
          <w:sz w:val="18"/>
          <w:szCs w:val="18"/>
          <w:lang w:eastAsia="en-US"/>
        </w:rPr>
        <w:instrText xml:space="preserve"> SEQ Table_S \* ARABIC </w:instrText>
      </w:r>
      <w:r w:rsidRPr="00704E49">
        <w:rPr>
          <w:rFonts w:ascii="Calibri" w:eastAsia="宋体" w:hAnsi="Calibri" w:cs="Arial"/>
          <w:b/>
          <w:bCs/>
          <w:kern w:val="0"/>
          <w:sz w:val="18"/>
          <w:szCs w:val="18"/>
          <w:lang w:eastAsia="en-US"/>
        </w:rPr>
        <w:fldChar w:fldCharType="separate"/>
      </w:r>
      <w:r w:rsidR="004A38FA" w:rsidRPr="00704E49">
        <w:rPr>
          <w:rFonts w:ascii="Calibri" w:eastAsia="宋体" w:hAnsi="Calibri" w:cs="Arial"/>
          <w:b/>
          <w:bCs/>
          <w:noProof/>
          <w:kern w:val="0"/>
          <w:sz w:val="18"/>
          <w:szCs w:val="18"/>
          <w:lang w:eastAsia="en-US"/>
        </w:rPr>
        <w:t>1</w:t>
      </w:r>
      <w:r w:rsidRPr="00704E49">
        <w:rPr>
          <w:rFonts w:ascii="Calibri" w:eastAsia="宋体" w:hAnsi="Calibri" w:cs="Arial"/>
          <w:b/>
          <w:bCs/>
          <w:kern w:val="0"/>
          <w:sz w:val="18"/>
          <w:szCs w:val="18"/>
          <w:lang w:eastAsia="en-US"/>
        </w:rPr>
        <w:fldChar w:fldCharType="end"/>
      </w:r>
      <w:bookmarkEnd w:id="2"/>
      <w:r w:rsidRPr="00704E49">
        <w:rPr>
          <w:rFonts w:ascii="Calibri" w:eastAsia="宋体" w:hAnsi="Calibri" w:cs="Arial"/>
          <w:b/>
          <w:bCs/>
          <w:kern w:val="0"/>
          <w:sz w:val="18"/>
          <w:szCs w:val="18"/>
          <w:lang w:eastAsia="en-US"/>
        </w:rPr>
        <w:t xml:space="preserve"> Overview of review articles (2017–2024) on the use of MSWI bottom ash as a supplementary cementitious material.</w:t>
      </w:r>
    </w:p>
    <w:tbl>
      <w:tblPr>
        <w:tblStyle w:val="PlainTable211"/>
        <w:tblW w:w="9048" w:type="dxa"/>
        <w:jc w:val="center"/>
        <w:tblLook w:val="04A0" w:firstRow="1" w:lastRow="0" w:firstColumn="1" w:lastColumn="0" w:noHBand="0" w:noVBand="1"/>
      </w:tblPr>
      <w:tblGrid>
        <w:gridCol w:w="851"/>
        <w:gridCol w:w="1559"/>
        <w:gridCol w:w="4253"/>
        <w:gridCol w:w="141"/>
        <w:gridCol w:w="2244"/>
      </w:tblGrid>
      <w:tr w:rsidR="00D76C75" w:rsidRPr="00704E49" w14:paraId="7E5DD4B7" w14:textId="77777777" w:rsidTr="00AC0648">
        <w:trPr>
          <w:cnfStyle w:val="100000000000" w:firstRow="1" w:lastRow="0" w:firstColumn="0" w:lastColumn="0" w:oddVBand="0" w:evenVBand="0" w:oddHBand="0"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503C3474" w14:textId="77777777" w:rsidR="00D76C75" w:rsidRPr="00704E49" w:rsidRDefault="00D76C75" w:rsidP="00D76C75">
            <w:pPr>
              <w:widowControl/>
              <w:tabs>
                <w:tab w:val="left" w:pos="5387"/>
              </w:tabs>
              <w:jc w:val="left"/>
              <w:rPr>
                <w:rFonts w:ascii="Calibri" w:eastAsia="宋体" w:hAnsi="Calibri" w:cs="Calibri"/>
                <w:sz w:val="18"/>
                <w:szCs w:val="18"/>
                <w:lang w:eastAsia="en-US"/>
              </w:rPr>
            </w:pPr>
            <w:bookmarkStart w:id="3" w:name="_Hlk160460720"/>
            <w:proofErr w:type="spellStart"/>
            <w:r w:rsidRPr="00704E49">
              <w:rPr>
                <w:rFonts w:ascii="Calibri" w:eastAsia="等线" w:hAnsi="Calibri" w:cs="Calibri"/>
                <w:sz w:val="18"/>
                <w:szCs w:val="18"/>
              </w:rPr>
              <w:t>Year</w:t>
            </w:r>
            <w:proofErr w:type="spellEnd"/>
          </w:p>
        </w:tc>
        <w:tc>
          <w:tcPr>
            <w:tcW w:w="1559" w:type="dxa"/>
            <w:vAlign w:val="center"/>
          </w:tcPr>
          <w:p w14:paraId="30B5206E" w14:textId="62C3DAA9" w:rsidR="00D76C75" w:rsidRPr="00704E49" w:rsidRDefault="00D83916" w:rsidP="00D76C75">
            <w:pPr>
              <w:widowControl/>
              <w:tabs>
                <w:tab w:val="left" w:pos="5387"/>
              </w:tabs>
              <w:jc w:val="center"/>
              <w:cnfStyle w:val="100000000000" w:firstRow="1" w:lastRow="0" w:firstColumn="0" w:lastColumn="0" w:oddVBand="0" w:evenVBand="0" w:oddHBand="0" w:evenHBand="0" w:firstRowFirstColumn="0" w:firstRowLastColumn="0" w:lastRowFirstColumn="0" w:lastRowLastColumn="0"/>
              <w:rPr>
                <w:rFonts w:ascii="Calibri" w:eastAsia="宋体" w:hAnsi="Calibri" w:cs="Calibri"/>
                <w:sz w:val="18"/>
                <w:szCs w:val="18"/>
                <w:lang w:eastAsia="en-US"/>
              </w:rPr>
            </w:pPr>
            <w:proofErr w:type="spellStart"/>
            <w:r w:rsidRPr="00704E49">
              <w:rPr>
                <w:rFonts w:ascii="Calibri" w:eastAsia="等线" w:hAnsi="Calibri" w:cs="Calibri"/>
                <w:sz w:val="18"/>
                <w:szCs w:val="18"/>
              </w:rPr>
              <w:t>References</w:t>
            </w:r>
            <w:proofErr w:type="spellEnd"/>
          </w:p>
        </w:tc>
        <w:tc>
          <w:tcPr>
            <w:tcW w:w="4394" w:type="dxa"/>
            <w:gridSpan w:val="2"/>
            <w:vAlign w:val="center"/>
          </w:tcPr>
          <w:p w14:paraId="2FA9F115" w14:textId="77777777" w:rsidR="00D76C75" w:rsidRPr="00704E49" w:rsidRDefault="00D76C75" w:rsidP="00D76C75">
            <w:pPr>
              <w:widowControl/>
              <w:tabs>
                <w:tab w:val="left" w:pos="5387"/>
              </w:tabs>
              <w:jc w:val="center"/>
              <w:cnfStyle w:val="100000000000" w:firstRow="1" w:lastRow="0" w:firstColumn="0" w:lastColumn="0" w:oddVBand="0" w:evenVBand="0" w:oddHBand="0" w:evenHBand="0" w:firstRowFirstColumn="0" w:firstRowLastColumn="0" w:lastRowFirstColumn="0" w:lastRowLastColumn="0"/>
              <w:rPr>
                <w:rFonts w:ascii="Calibri" w:eastAsia="宋体" w:hAnsi="Calibri" w:cs="Calibri"/>
                <w:sz w:val="18"/>
                <w:szCs w:val="18"/>
                <w:lang w:eastAsia="en-US"/>
              </w:rPr>
            </w:pPr>
            <w:proofErr w:type="spellStart"/>
            <w:r w:rsidRPr="00704E49">
              <w:rPr>
                <w:rFonts w:ascii="Calibri" w:eastAsia="等线" w:hAnsi="Calibri" w:cs="Calibri"/>
                <w:sz w:val="18"/>
                <w:szCs w:val="18"/>
              </w:rPr>
              <w:t>Contributions</w:t>
            </w:r>
            <w:proofErr w:type="spellEnd"/>
          </w:p>
        </w:tc>
        <w:tc>
          <w:tcPr>
            <w:tcW w:w="2244" w:type="dxa"/>
            <w:vAlign w:val="center"/>
          </w:tcPr>
          <w:p w14:paraId="2592734B" w14:textId="77777777" w:rsidR="00D76C75" w:rsidRPr="00704E49" w:rsidRDefault="00D76C75" w:rsidP="00D76C75">
            <w:pPr>
              <w:widowControl/>
              <w:tabs>
                <w:tab w:val="left" w:pos="5387"/>
              </w:tabs>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Focus</w:t>
            </w:r>
          </w:p>
        </w:tc>
      </w:tr>
      <w:tr w:rsidR="00D76C75" w:rsidRPr="00704E49" w14:paraId="69F2C628" w14:textId="77777777" w:rsidTr="00AC0648">
        <w:trPr>
          <w:cnfStyle w:val="000000100000" w:firstRow="0" w:lastRow="0" w:firstColumn="0" w:lastColumn="0" w:oddVBand="0" w:evenVBand="0" w:oddHBand="1" w:evenHBand="0" w:firstRowFirstColumn="0" w:firstRowLastColumn="0" w:lastRowFirstColumn="0" w:lastRowLastColumn="0"/>
          <w:trHeight w:val="809"/>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70B673D4" w14:textId="77777777" w:rsidR="00D76C75" w:rsidRPr="00704E49" w:rsidRDefault="00D76C75" w:rsidP="00D76C75">
            <w:pPr>
              <w:widowControl/>
              <w:tabs>
                <w:tab w:val="left" w:pos="5387"/>
              </w:tabs>
              <w:spacing w:before="60" w:after="60"/>
              <w:rPr>
                <w:rFonts w:ascii="Calibri" w:eastAsia="宋体" w:hAnsi="Calibri" w:cs="Calibri"/>
                <w:sz w:val="18"/>
                <w:szCs w:val="18"/>
                <w:lang w:eastAsia="en-US"/>
              </w:rPr>
            </w:pPr>
            <w:r w:rsidRPr="00704E49">
              <w:rPr>
                <w:rFonts w:ascii="Calibri" w:eastAsia="等线" w:hAnsi="Calibri" w:cs="Calibri"/>
                <w:sz w:val="18"/>
                <w:szCs w:val="18"/>
              </w:rPr>
              <w:t>2017</w:t>
            </w:r>
          </w:p>
        </w:tc>
        <w:tc>
          <w:tcPr>
            <w:tcW w:w="1559" w:type="dxa"/>
            <w:vAlign w:val="center"/>
          </w:tcPr>
          <w:p w14:paraId="228675E4" w14:textId="0890C7FA"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宋体" w:hAnsi="Calibri" w:cs="Calibri"/>
                <w:sz w:val="18"/>
                <w:szCs w:val="18"/>
                <w:lang w:val="en-US" w:eastAsia="en-US"/>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{"citationItems":[{"id":"ITEM-1","itemData":{"DOI":"10.1007/s12649-016-9704-0","ISSN":"1877265X","abstract":"Abstract: Bottom ash from municipal solid waste incineration is an underutilized secondary resource, which currently gains large attention due to increased landfill costs and the push towards a circular economy. Due to the high concentrations and mobility of pollutants, bottom ash cannot readily replace virgin construction materials. Over the last decade, many research efforts have addressed these issues in view of newly developed engineering applications. However, the required quality of bottom ash varies for each application. In this review we focus on the ternary relationship between engineering applications, chemical barriers/limitations and treatment technologies for municipal solid waste incinerator bottom ash. For each intended engineering application [loose (bulk) construction aggregates; sand, aggregate or cement replacement in concrete; raw material for cement or ceramics] the appropriate treatment technologies are selected to overcome identified chemical barriers. This allows future top-down design decisions, starting from the most promising engineering application of bottom ash. The main chemical barrier for bottom ash recycling as loose construction aggregates is the leaching of heavy metals and/or metalloids. This can be overcome by size separation, carbonation, mild heat treatment or by using mineral additives. In structured concrete, the presence of metallic aluminum or zinc causes early cracking and a high chloride concentration causes corrosion of reinforcement steel. Therefore, recent developments in wet/semi-dry separations facilitated enhanced eddy current separation to remove non-ferrous metals. The washing of bottom ash to remove chloride, is to date the sole technology to prepare bottom ash as raw material for cement kil</w:instrText>
            </w:r>
            <w:r w:rsidR="005E7D08" w:rsidRPr="00704E49">
              <w:rPr>
                <w:rFonts w:ascii="Calibri" w:eastAsia="Calibri" w:hAnsi="Calibri" w:cs="Calibri"/>
                <w:sz w:val="18"/>
                <w:szCs w:val="18"/>
                <w:lang w:val="en-US"/>
              </w:rPr>
              <w:instrText>ns. Finally, when bottom ash is used as feedstock for ceramics production, recent knowledge was generated to allow for selecting thermal process parameters in such a way that leaching of both heavy metals and metalloids is minimized. Graphical Abstract: [Figure not available: see fulltext.].","author":[{"dropping-particle":"","family":"Verbinnen","given":"Bram","non-dropping-particle":"","parse-names":false,"suffix":""},{"dropping-particle":"","family":"Billen","given":"Pieter","non-dropping-particle":"","parse-names":false,"suffix":""},{"dropping-particle":"Van","family":"Caneghem","given":"Jo","non-dropping-particle":"","parse-names":false,"suffix":""},{"dropping-particle":"","family":"Vandecasteele","given":"Carlo","non-dropping-particle":"","parse-names":false,"suffix":""}],"container-title":"Waste and Biomass Valorization","id":"ITEM-1","issue":"5","issued":{"date-parts":[["2017"]]},"page":"1453-1466","publisher":"Springer Netherlands","title":"Recycling of MSWI Bottom Ash: A Review of Chemical Barriers, Engineering Applications and Treatment Technologies","type":"article-journal","volume":"8"},"uris":["http://www.mendeley.com/documents/?uuid=807d49a1-dda0-4e6a-a0bc-aa7a6023ca50"]}],"mendeley":{"formattedCitation":"(Verbinnen et al., 2017)","plainTextFormattedCitation":"(Verbinnen et al., 2017)","previouslyFormattedCitation":"(Verbinnen et al., 2017)"},"properties":{"noteIndex":0},"schema":"https://github.com/citation-style-language/schema/raw/master/csl-citation.json"}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lang w:val="en-US"/>
              </w:rPr>
              <w:t>(Verbinnen et al., 2017)</w:t>
            </w:r>
            <w:r w:rsidRPr="00704E49">
              <w:rPr>
                <w:rFonts w:ascii="Calibri" w:eastAsia="Calibri" w:hAnsi="Calibri" w:cs="Calibri"/>
                <w:sz w:val="18"/>
                <w:szCs w:val="18"/>
              </w:rPr>
              <w:fldChar w:fldCharType="end"/>
            </w:r>
          </w:p>
        </w:tc>
        <w:tc>
          <w:tcPr>
            <w:tcW w:w="4253" w:type="dxa"/>
            <w:vAlign w:val="center"/>
          </w:tcPr>
          <w:p w14:paraId="1B6578A2" w14:textId="77777777"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宋体" w:hAnsi="Calibri" w:cs="Calibri"/>
                <w:sz w:val="18"/>
                <w:szCs w:val="18"/>
                <w:lang w:val="en-US" w:eastAsia="en-US"/>
              </w:rPr>
            </w:pPr>
            <w:r w:rsidRPr="00704E49">
              <w:rPr>
                <w:rFonts w:ascii="Calibri" w:eastAsia="等线" w:hAnsi="Calibri" w:cs="Calibri"/>
                <w:sz w:val="18"/>
                <w:szCs w:val="18"/>
                <w:lang w:val="en-US"/>
              </w:rPr>
              <w:t>Covered case studies on</w:t>
            </w:r>
            <w:r w:rsidRPr="00704E49">
              <w:rPr>
                <w:rFonts w:ascii="Calibri" w:eastAsia="等线" w:hAnsi="Calibri" w:cs="Calibri" w:hint="eastAsia"/>
                <w:sz w:val="18"/>
                <w:szCs w:val="18"/>
                <w:lang w:val="en-US"/>
              </w:rPr>
              <w:t xml:space="preserve"> </w:t>
            </w:r>
            <w:r w:rsidRPr="00704E49">
              <w:rPr>
                <w:rFonts w:ascii="Calibri" w:eastAsia="等线" w:hAnsi="Calibri" w:cs="Calibri"/>
                <w:sz w:val="18"/>
                <w:szCs w:val="18"/>
                <w:lang w:val="en-US"/>
              </w:rPr>
              <w:t>the use of MSWI bottom ash as a cement replacement, with a focus on treatment methods to address chemical challenges limiting its effectiveness as</w:t>
            </w:r>
            <w:r w:rsidRPr="00704E49">
              <w:rPr>
                <w:rFonts w:ascii="Calibri" w:eastAsia="等线" w:hAnsi="Calibri" w:cs="Calibri" w:hint="eastAsia"/>
                <w:sz w:val="18"/>
                <w:szCs w:val="18"/>
                <w:lang w:val="en-US"/>
              </w:rPr>
              <w:t xml:space="preserve"> an SCM</w:t>
            </w:r>
            <w:r w:rsidRPr="00704E49">
              <w:rPr>
                <w:rFonts w:ascii="Calibri" w:eastAsia="等线" w:hAnsi="Calibri" w:cs="Calibri"/>
                <w:sz w:val="18"/>
                <w:szCs w:val="18"/>
                <w:lang w:val="en-US"/>
              </w:rPr>
              <w:t>.</w:t>
            </w:r>
          </w:p>
        </w:tc>
        <w:tc>
          <w:tcPr>
            <w:tcW w:w="2385" w:type="dxa"/>
            <w:gridSpan w:val="2"/>
            <w:vAlign w:val="center"/>
          </w:tcPr>
          <w:p w14:paraId="1ED1994C"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US"/>
              </w:rPr>
            </w:pPr>
            <w:r w:rsidRPr="00704E49">
              <w:rPr>
                <w:rFonts w:ascii="Calibri" w:eastAsia="等线" w:hAnsi="Calibri" w:cs="Calibri"/>
                <w:sz w:val="18"/>
                <w:szCs w:val="18"/>
                <w:lang w:val="en-US"/>
              </w:rPr>
              <w:t>Treatment techniques</w:t>
            </w:r>
          </w:p>
        </w:tc>
      </w:tr>
      <w:tr w:rsidR="00D76C75" w:rsidRPr="00704E49" w14:paraId="6FFAEC24" w14:textId="77777777" w:rsidTr="00AC0648">
        <w:trPr>
          <w:trHeight w:val="849"/>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21A8ECA9" w14:textId="77777777" w:rsidR="00D76C75" w:rsidRPr="00704E49" w:rsidRDefault="00D76C75" w:rsidP="00D76C75">
            <w:pPr>
              <w:widowControl/>
              <w:tabs>
                <w:tab w:val="left" w:pos="5387"/>
              </w:tabs>
              <w:spacing w:before="60" w:after="60"/>
              <w:jc w:val="left"/>
              <w:rPr>
                <w:rFonts w:ascii="Calibri" w:eastAsia="等线" w:hAnsi="Calibri" w:cs="Calibri"/>
                <w:sz w:val="18"/>
                <w:szCs w:val="18"/>
                <w:lang w:val="en-US"/>
              </w:rPr>
            </w:pPr>
            <w:r w:rsidRPr="00704E49">
              <w:rPr>
                <w:rFonts w:ascii="Calibri" w:eastAsia="等线" w:hAnsi="Calibri" w:cs="Calibri"/>
                <w:sz w:val="18"/>
                <w:szCs w:val="18"/>
                <w:lang w:val="en-US"/>
              </w:rPr>
              <w:t>2018</w:t>
            </w:r>
          </w:p>
        </w:tc>
        <w:tc>
          <w:tcPr>
            <w:tcW w:w="1559" w:type="dxa"/>
            <w:vAlign w:val="center"/>
          </w:tcPr>
          <w:p w14:paraId="688BDA19" w14:textId="5ED7BB9F" w:rsidR="00D76C75" w:rsidRPr="00704E49" w:rsidRDefault="00D76C75" w:rsidP="00D76C75">
            <w:pPr>
              <w:widowControl/>
              <w:spacing w:before="60" w:after="60"/>
              <w:jc w:val="left"/>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lang w:val="en-US"/>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lang w:val="en-US"/>
              </w:rPr>
              <w:instrText>ADDIN CSL_CITATION {"citationItems":[{"id":"ITEM-1","itemData":{"DOI":"10.3390/ma11010141","ISBN":"1996-1944","abstract":"Huge amounts of waste are being generated, and even though the incineration process reduces the mass and volume of waste to a large extent, massive amounts of residues still remain. On average, out of 1.3 billion tons of municipal solid wastes generated per year, around 130 and 2.1 million tons are incinerated in the world and in Belgium, respectively. Around 400 kT of bottom ash residues are generated in Flanders, out of which only 102 kT are utilized here, and the rest is exported or landfilled due to non-conformity to environmental regulations. Landfilling makes the valuable resources in the residues unavailable and results in more primary raw materials being used, increasing mining and related hazards. Identifying and employing the right pre-treatment technique for the highest value application is the key to attaining a circular economy. We reviewed the present pre-treatment and utilization scenarios in Belgium, and the advancements in research around the world for realization of maximum utilization are reported in this paper. Uses of the material in the cement industry as a binder and cement raw meal replacement are identified as possible effective utilization options for large quantities of bottom ash. Pre-treatment techniques that could facilitate this use are also discussed. With all the research evidence available, there is now a need for combined efforts from incineration and the cement industry for technical and economic optimization of the process flow.","author":[{"dropping-particle":"","family":"Joseph","given":"Aneeta M","non-dropping-particle":"","parse-names":false,"suffix":""},{"dropping-particle":"","family":"Snellings","given":"Ruben","non-dropping-particle":"","parse-names":false,"suffix":""},{"dropping-particle":"","family":"Heede","given":"Philip","non-dropping-particle":"Van den","parse-names":false,"suffix":""},{"dropping-particle":"","family":"Matthys","given":"Stijn","non-dropping-particle":"","parse-names":false,"suffix":""},{"dropping-particle":"","family":"Belie","given":"Nele","non-dropping-particle":"De","parse-names":false,"suffix":""}],"container-title":"Materials","id":"ITEM-1","issue":"1","issued":{"date-parts":[["2018"]]},"note":"From Duplicate 1 (The use of municipal solidwaste incineration ash in various building materials: A Belgian point of view - Joseph, A M; Snellings, R; Van den Heede, P; Matthys, S; De Belie, N)\n\nCited By :26\nExport Date: 16 April 2020","title":"The use of municipal solidwaste incineration ash in various building materials: A Belgian point of view","type":"article-journal","volume":"11"},"uris":["http://www.mendeley.com/documents/?uuid=670fb708-912c-4bec-a2c0-8a31cd2bd116"]}],"mendeley":{"formattedCitation":"(Aneeta M Joseph et al., 2018)","plainTextFormattedCitation":"(Aneeta M Joseph et al., 2018)","previouslyFormattedCitation":"(Aneeta M Joseph et al., 2018)"},"properties":{"noteIndex":0},"schema":"https://github.com/citation-style-language/schema/raw/master/csl-citation.json"}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lang w:val="en-US"/>
              </w:rPr>
              <w:t>(Aneeta M Joseph et al., 2018)</w:t>
            </w:r>
            <w:r w:rsidRPr="00704E49">
              <w:rPr>
                <w:rFonts w:ascii="Calibri" w:eastAsia="Calibri" w:hAnsi="Calibri" w:cs="Calibri"/>
                <w:sz w:val="18"/>
                <w:szCs w:val="18"/>
              </w:rPr>
              <w:fldChar w:fldCharType="end"/>
            </w:r>
          </w:p>
        </w:tc>
        <w:tc>
          <w:tcPr>
            <w:tcW w:w="4253" w:type="dxa"/>
            <w:vAlign w:val="center"/>
          </w:tcPr>
          <w:p w14:paraId="583ACE97"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Reviewed the application of MSWI bottom ash in Belgium as an SCM, with an emphasis on its compositional properties and methods for enhancing quality.</w:t>
            </w:r>
          </w:p>
        </w:tc>
        <w:tc>
          <w:tcPr>
            <w:tcW w:w="2385" w:type="dxa"/>
            <w:gridSpan w:val="2"/>
            <w:vAlign w:val="center"/>
          </w:tcPr>
          <w:p w14:paraId="63146B11"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Compositions</w:t>
            </w:r>
          </w:p>
          <w:p w14:paraId="215C60D1"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Treatment techniques</w:t>
            </w:r>
          </w:p>
        </w:tc>
      </w:tr>
      <w:tr w:rsidR="00D76C75" w:rsidRPr="00704E49" w14:paraId="12EB3358" w14:textId="77777777" w:rsidTr="00AC0648">
        <w:trPr>
          <w:cnfStyle w:val="000000100000" w:firstRow="0" w:lastRow="0" w:firstColumn="0" w:lastColumn="0" w:oddVBand="0" w:evenVBand="0" w:oddHBand="1" w:evenHBand="0" w:firstRowFirstColumn="0" w:firstRowLastColumn="0" w:lastRowFirstColumn="0" w:lastRowLastColumn="0"/>
          <w:trHeight w:val="848"/>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08422674" w14:textId="77777777" w:rsidR="00D76C75" w:rsidRPr="00704E49" w:rsidRDefault="00D76C75" w:rsidP="00D76C75">
            <w:pPr>
              <w:widowControl/>
              <w:tabs>
                <w:tab w:val="left" w:pos="5387"/>
              </w:tabs>
              <w:spacing w:before="60" w:after="60"/>
              <w:jc w:val="left"/>
              <w:rPr>
                <w:rFonts w:ascii="Calibri" w:eastAsia="等线" w:hAnsi="Calibri" w:cs="Calibri"/>
                <w:sz w:val="18"/>
                <w:szCs w:val="18"/>
                <w:lang w:val="en-GB"/>
              </w:rPr>
            </w:pPr>
            <w:r w:rsidRPr="00704E49">
              <w:rPr>
                <w:rFonts w:ascii="Calibri" w:eastAsia="等线" w:hAnsi="Calibri" w:cs="Calibri"/>
                <w:sz w:val="18"/>
                <w:szCs w:val="18"/>
                <w:lang w:val="en-GB"/>
              </w:rPr>
              <w:t>2019</w:t>
            </w:r>
          </w:p>
        </w:tc>
        <w:tc>
          <w:tcPr>
            <w:tcW w:w="1559" w:type="dxa"/>
            <w:vAlign w:val="center"/>
          </w:tcPr>
          <w:p w14:paraId="6CC9EFE7" w14:textId="5D7A7706"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lang w:val="en-US"/>
              </w:rPr>
              <w:instrText>ADDIN CSL_CITATION {"citationItems":[{"id":"ITEM-1","itemData":{"DOI":"https://doi.org/10.1016/j.resconrec.2018.09.011","ISBN":"0921-3449","abstract":"This paper presents a literature review concerning the performance from an environmental viewpoint of construction related products made with municipal solid waste incinerator bottom ash. It starts with an initial assessment of the bottom ash, and how it performs when used as aggregate substitute in cement-based products, as cement constituent and as raw feed in cement production. Evaluation of the material’s environmental performance when used as aggregate replacement in unbound and cement-bound base and subbase layers for road pavement construction, as well as in asphalt concrete layers, is also undertaken. This paper also appraises the behaviour of ceramic-based products, including glass, glass-ceramics, and general ceramics. As a result of the high quantities of potentially leachable contaminants inherent to the bottom ash, the environmental assessment carried out throughout this paper is mostly based on the materials’ leaching behaviour, but also based on life cycle assessments and gas emission analyses. The results of several leaching trials, conducted according to various specifications, were reviewed and paralleled with corresponding regulations, with the objective of establishing the products’ viability from an environmental point of view.","author":[{"dropping-particle":"V","family":"Silva","given":"R","non-dropping-particle":"","parse-names":false,"suffix":""},{"dropping-particle":"","family":"Brito","given":"J","non-dropping-particle":"de","parse-names":false,"suffix":""},{"dropping-particle":"","family":"Lynn","given":"C J","non-dropping-particle":"","parse-names":false,"suffix":""},{"dropping-particle":"","family":"Dhir","given":"R K","non-dropping-particle":"","parse-names":false,"suffix":""}],"container-title":"Resources, Conservation and Recycling","id":"ITEM-1","issued":{"date-parts":[["2019"]]},"page":"23-35","title":"Environmental impacts of the use of bottom ashes from municipal solid waste incineration: A review","type":"article-journal","volume":"140"},"uris":["http://www.mendeley.com/documents/?uuid=241ad1fb-0eb3-4ff5-b239-ea67336f8ea5"]}],"mendeley":{"formattedCitation":"(Silva et al., 2019)","plainTextFormattedCitation":"(Silva et al., 2019)","previouslyFormattedCitation":"(Silva et al., 2019)"},"properties":{"noteIndex":0},"schema":"https://github.com/citation-style-language/schema/raw/master/csl-citation.json"}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(Silva et al., 2019)</w:t>
            </w:r>
            <w:r w:rsidRPr="00704E49">
              <w:rPr>
                <w:rFonts w:ascii="Calibri" w:eastAsia="Calibri" w:hAnsi="Calibri" w:cs="Calibri"/>
                <w:sz w:val="18"/>
                <w:szCs w:val="18"/>
              </w:rPr>
              <w:fldChar w:fldCharType="end"/>
            </w:r>
          </w:p>
        </w:tc>
        <w:tc>
          <w:tcPr>
            <w:tcW w:w="4253" w:type="dxa"/>
            <w:vAlign w:val="center"/>
          </w:tcPr>
          <w:p w14:paraId="1A0560DD" w14:textId="77777777"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 xml:space="preserve">Gathered findings on the leaching </w:t>
            </w:r>
            <w:proofErr w:type="spellStart"/>
            <w:r w:rsidRPr="00704E49">
              <w:rPr>
                <w:rFonts w:ascii="Calibri" w:eastAsia="等线" w:hAnsi="Calibri" w:cs="Calibri"/>
                <w:sz w:val="18"/>
                <w:szCs w:val="18"/>
                <w:lang w:val="en-GB"/>
              </w:rPr>
              <w:t>behavior</w:t>
            </w:r>
            <w:proofErr w:type="spellEnd"/>
            <w:r w:rsidRPr="00704E49">
              <w:rPr>
                <w:rFonts w:ascii="Calibri" w:eastAsia="等线" w:hAnsi="Calibri" w:cs="Calibri"/>
                <w:sz w:val="18"/>
                <w:szCs w:val="18"/>
                <w:lang w:val="en-GB"/>
              </w:rPr>
              <w:t xml:space="preserve"> of mixtures using MSWI bottom ash as SCM, and reviewed methods to reduce hazardous component leaching.</w:t>
            </w:r>
          </w:p>
        </w:tc>
        <w:tc>
          <w:tcPr>
            <w:tcW w:w="2385" w:type="dxa"/>
            <w:gridSpan w:val="2"/>
            <w:vAlign w:val="center"/>
          </w:tcPr>
          <w:p w14:paraId="5B61C025"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Treatment techniques</w:t>
            </w:r>
          </w:p>
          <w:p w14:paraId="50153EAE"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Performances of bottom ash-blended cementitious materials</w:t>
            </w:r>
          </w:p>
          <w:p w14:paraId="5A1280FC"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w:t>
            </w:r>
            <w:proofErr w:type="spellStart"/>
            <w:proofErr w:type="gramStart"/>
            <w:r w:rsidRPr="00704E49">
              <w:rPr>
                <w:rFonts w:ascii="Calibri" w:eastAsia="等线" w:hAnsi="Calibri" w:cs="Calibri"/>
                <w:sz w:val="18"/>
                <w:szCs w:val="18"/>
              </w:rPr>
              <w:t>leaching</w:t>
            </w:r>
            <w:proofErr w:type="spellEnd"/>
            <w:proofErr w:type="gramEnd"/>
            <w:r w:rsidRPr="00704E49">
              <w:rPr>
                <w:rFonts w:ascii="Calibri" w:eastAsia="等线" w:hAnsi="Calibri" w:cs="Calibri"/>
                <w:sz w:val="18"/>
                <w:szCs w:val="18"/>
              </w:rPr>
              <w:t xml:space="preserve"> </w:t>
            </w:r>
            <w:proofErr w:type="spellStart"/>
            <w:r w:rsidRPr="00704E49">
              <w:rPr>
                <w:rFonts w:ascii="Calibri" w:eastAsia="等线" w:hAnsi="Calibri" w:cs="Calibri"/>
                <w:sz w:val="18"/>
                <w:szCs w:val="18"/>
              </w:rPr>
              <w:t>behavior</w:t>
            </w:r>
            <w:proofErr w:type="spellEnd"/>
            <w:r w:rsidRPr="00704E49">
              <w:rPr>
                <w:rFonts w:ascii="Calibri" w:eastAsia="等线" w:hAnsi="Calibri" w:cs="Calibri"/>
                <w:sz w:val="18"/>
                <w:szCs w:val="18"/>
              </w:rPr>
              <w:t>)</w:t>
            </w:r>
          </w:p>
        </w:tc>
      </w:tr>
      <w:tr w:rsidR="00D76C75" w:rsidRPr="00704E49" w14:paraId="4B71CA73" w14:textId="77777777" w:rsidTr="00AC0648">
        <w:trPr>
          <w:trHeight w:val="1130"/>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641D6ABE" w14:textId="77777777" w:rsidR="00D76C75" w:rsidRPr="00704E49" w:rsidRDefault="00D76C75" w:rsidP="00D76C75">
            <w:pPr>
              <w:widowControl/>
              <w:tabs>
                <w:tab w:val="left" w:pos="5387"/>
              </w:tabs>
              <w:spacing w:before="60" w:after="60"/>
              <w:jc w:val="left"/>
              <w:rPr>
                <w:rFonts w:ascii="Calibri" w:eastAsia="等线" w:hAnsi="Calibri" w:cs="Calibri"/>
                <w:sz w:val="18"/>
                <w:szCs w:val="18"/>
              </w:rPr>
            </w:pPr>
            <w:r w:rsidRPr="00704E49">
              <w:rPr>
                <w:rFonts w:ascii="Calibri" w:eastAsia="等线" w:hAnsi="Calibri" w:cs="Calibri"/>
                <w:sz w:val="18"/>
                <w:szCs w:val="18"/>
              </w:rPr>
              <w:t>2020</w:t>
            </w:r>
          </w:p>
        </w:tc>
        <w:tc>
          <w:tcPr>
            <w:tcW w:w="1559" w:type="dxa"/>
            <w:vAlign w:val="center"/>
          </w:tcPr>
          <w:p w14:paraId="5794E891" w14:textId="0D4013FB"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lang w:val="en-US"/>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lang w:val="en-US"/>
              </w:rPr>
              <w:instrText>ADDIN CSL_CITATION {"citationItems":[{"id":"ITEM-1","itemData":{"DOI":"10.3390/ma13143143","ISSN":"1996-1944","abstract":"Over the past decades, extensive studies on municipal solid waste incineration (MSWI) ashes have been performed to develop more effective recycling and waste management programs. Despite the large amount of research activities and the resulting improvements to MSWI ashes, the recycling programs for MSWI ashes are limited. For instance, although the U.S. generates more MSWI ashes than any other country in the world, its reuse/recycle programs are limited; bottom ash and fly ash are combined and disposed of in landfills. Reuse of MSWI ashes in the construction sectors (i.e., geomaterials, asphalt paving, and concrete products) as replacements for raw materials is one of most promising options because of the large consumption and relatively lenient environmental criteria. The main objective of this study was to comprehensively review MSWI ashes with regard to specific engineering properties and their performance as construction materials. The focus was on (1) the current practices of MSWI ash management (in particular, a comparison between European countries and the U.S.), (2) the engineering properties and performance of ashes when they are used as substitutes of construction materials and for field applications, and (3) the environmental properties and criteria for the use of MSWI ashes. Overall, the asphalt and concrete applications are the most promising, from both the mechanical and leachate viewpoints. However, cons were also observed: high absorption of MSWI ash requires a high asphalt binder content in hot-mix asphalt, and metallic elements in the ash may generate H2 gas in the high-pH environment of the concrete. These side effects can be predicted via material characterization (i.e., chemical and physical), and accordingly, proper treatment and/or modified mix proportioning can be performed prior to use.","author":[{"dropping-particle":"","family":"Cho","given":"Byoung Hooi","non-dropping-particle":"","parse-names":false,"suffix":""},{"dropping-particle":"","family":"Nam","given":"Boo Hyun","non-dropping-particle":"","parse-names":false,"suffix":""},{"dropping-particle":"","family":"An","given":"Jinwoo","non-dropping-particle":"","parse-names":false,"suffix":""},{"dropping-particle":"","family":"Youn","given":"Heejung","non-dropping-particle":"","parse-names":false,"suffix":""}],"container-title":"Materials","id":"ITEM-1","issue":"14","issued":{"date-parts":[["2020"]]},"title":"Municipal Solid Waste Incineration (MSWI) Ashes as Construction Materials—A Review","type":"article-journal","volume":"13"},"uris":["http://www.mendeley.com/documents/?uuid=b0a65f3b-b131-415f-9675-0cb15108e84a"]}],"mendeley":{"formattedCitation":"(Cho et al., 2020)","plainTextFormattedCitation":"(Cho et al., 2020)","previouslyFormattedCitation":"(Cho et al., 2020)"},"properties":{"noteIndex":0},"schema":"https://github.com/citation-style-language/schema/raw/master/csl-citation.json"}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lang w:val="en-US"/>
              </w:rPr>
              <w:t>(Cho et al., 2020)</w:t>
            </w:r>
            <w:r w:rsidRPr="00704E49">
              <w:rPr>
                <w:rFonts w:ascii="Calibri" w:eastAsia="Calibri" w:hAnsi="Calibri" w:cs="Calibri"/>
                <w:sz w:val="18"/>
                <w:szCs w:val="18"/>
              </w:rPr>
              <w:fldChar w:fldCharType="end"/>
            </w:r>
          </w:p>
        </w:tc>
        <w:tc>
          <w:tcPr>
            <w:tcW w:w="4253" w:type="dxa"/>
            <w:vAlign w:val="center"/>
          </w:tcPr>
          <w:p w14:paraId="06AAF1F3"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US"/>
              </w:rPr>
            </w:pPr>
            <w:r w:rsidRPr="00704E49">
              <w:rPr>
                <w:rFonts w:ascii="Calibri" w:eastAsia="等线" w:hAnsi="Calibri" w:cs="Calibri"/>
                <w:sz w:val="18"/>
                <w:szCs w:val="18"/>
                <w:lang w:val="en-US"/>
              </w:rPr>
              <w:t>Provided a summary of the compositional characteristics of MSWI bottom ash, as well as the fresh and mechanical properties of cementitious materials containing MSWI bottom ash.</w:t>
            </w:r>
          </w:p>
          <w:p w14:paraId="6710A0A3"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US"/>
              </w:rPr>
            </w:pPr>
            <w:r w:rsidRPr="00704E49">
              <w:rPr>
                <w:rFonts w:ascii="Calibri" w:eastAsia="Calibri" w:hAnsi="Calibri" w:cs="Calibri"/>
                <w:sz w:val="18"/>
                <w:szCs w:val="18"/>
                <w:lang w:val="en-US"/>
              </w:rPr>
              <w:t xml:space="preserve">Note: </w:t>
            </w:r>
            <w:r w:rsidRPr="00704E49">
              <w:rPr>
                <w:rFonts w:ascii="Calibri" w:eastAsia="等线" w:hAnsi="Calibri" w:cs="Calibri" w:hint="eastAsia"/>
                <w:sz w:val="18"/>
                <w:szCs w:val="18"/>
                <w:lang w:val="en-US"/>
              </w:rPr>
              <w:t>T</w:t>
            </w:r>
            <w:r w:rsidRPr="00704E49">
              <w:rPr>
                <w:rFonts w:ascii="Calibri" w:eastAsia="Calibri" w:hAnsi="Calibri" w:cs="Calibri"/>
                <w:sz w:val="18"/>
                <w:szCs w:val="18"/>
                <w:lang w:val="en-US"/>
              </w:rPr>
              <w:t>his review covers only a limited selection of publications</w:t>
            </w:r>
            <w:r w:rsidRPr="00704E49">
              <w:rPr>
                <w:rFonts w:ascii="Calibri" w:eastAsia="等线" w:hAnsi="Calibri" w:cs="Calibri" w:hint="eastAsia"/>
                <w:sz w:val="18"/>
                <w:szCs w:val="18"/>
                <w:lang w:val="en-US"/>
              </w:rPr>
              <w:t>.</w:t>
            </w:r>
          </w:p>
        </w:tc>
        <w:tc>
          <w:tcPr>
            <w:tcW w:w="2385" w:type="dxa"/>
            <w:gridSpan w:val="2"/>
            <w:vAlign w:val="center"/>
          </w:tcPr>
          <w:p w14:paraId="03EF7140"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US"/>
              </w:rPr>
            </w:pPr>
            <w:r w:rsidRPr="00704E49">
              <w:rPr>
                <w:rFonts w:ascii="Calibri" w:eastAsia="等线" w:hAnsi="Calibri" w:cs="Calibri"/>
                <w:sz w:val="18"/>
                <w:szCs w:val="18"/>
                <w:lang w:val="en-US"/>
              </w:rPr>
              <w:t>Compositions</w:t>
            </w:r>
          </w:p>
          <w:p w14:paraId="13D8442C"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US"/>
              </w:rPr>
            </w:pPr>
            <w:r w:rsidRPr="00704E49">
              <w:rPr>
                <w:rFonts w:ascii="Calibri" w:eastAsia="等线" w:hAnsi="Calibri" w:cs="Calibri"/>
                <w:sz w:val="18"/>
                <w:szCs w:val="18"/>
                <w:lang w:val="en-US"/>
              </w:rPr>
              <w:t>Performances of</w:t>
            </w:r>
            <w:r w:rsidRPr="00704E49">
              <w:rPr>
                <w:rFonts w:ascii="Calibri" w:eastAsia="等线" w:hAnsi="Calibri" w:cs="Calibri" w:hint="eastAsia"/>
                <w:sz w:val="18"/>
                <w:szCs w:val="18"/>
                <w:lang w:val="en-US"/>
              </w:rPr>
              <w:t xml:space="preserve"> bottom ash-blended</w:t>
            </w:r>
            <w:r w:rsidRPr="00704E49">
              <w:rPr>
                <w:rFonts w:ascii="Calibri" w:eastAsia="等线" w:hAnsi="Calibri" w:cs="Calibri"/>
                <w:sz w:val="18"/>
                <w:szCs w:val="18"/>
                <w:lang w:val="en-US"/>
              </w:rPr>
              <w:t xml:space="preserve"> cementitious materials </w:t>
            </w:r>
          </w:p>
          <w:p w14:paraId="6ABC0DFE"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US"/>
              </w:rPr>
            </w:pPr>
            <w:r w:rsidRPr="00704E49">
              <w:rPr>
                <w:rFonts w:ascii="Calibri" w:eastAsia="等线" w:hAnsi="Calibri" w:cs="Calibri"/>
                <w:sz w:val="18"/>
                <w:szCs w:val="18"/>
                <w:lang w:val="en-US"/>
              </w:rPr>
              <w:t>(fresh and mechanical properties)</w:t>
            </w:r>
          </w:p>
        </w:tc>
      </w:tr>
      <w:tr w:rsidR="00D76C75" w:rsidRPr="00704E49" w14:paraId="5DC678BB" w14:textId="77777777" w:rsidTr="00AC0648">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851" w:type="dxa"/>
            <w:vAlign w:val="center"/>
          </w:tcPr>
          <w:p w14:paraId="67707D4F" w14:textId="77777777" w:rsidR="00D76C75" w:rsidRPr="00704E49" w:rsidRDefault="00D76C75" w:rsidP="00D76C75">
            <w:pPr>
              <w:widowControl/>
              <w:tabs>
                <w:tab w:val="left" w:pos="5387"/>
              </w:tabs>
              <w:spacing w:before="60" w:after="60"/>
              <w:jc w:val="left"/>
              <w:rPr>
                <w:rFonts w:ascii="Calibri" w:eastAsia="等线" w:hAnsi="Calibri" w:cs="Calibri"/>
                <w:sz w:val="18"/>
                <w:szCs w:val="18"/>
                <w:lang w:val="en-US"/>
              </w:rPr>
            </w:pPr>
            <w:r w:rsidRPr="00704E49">
              <w:rPr>
                <w:rFonts w:ascii="Calibri" w:eastAsia="等线" w:hAnsi="Calibri" w:cs="Calibri"/>
                <w:sz w:val="18"/>
                <w:szCs w:val="18"/>
                <w:lang w:val="en-US"/>
              </w:rPr>
              <w:t>2021</w:t>
            </w:r>
          </w:p>
        </w:tc>
        <w:tc>
          <w:tcPr>
            <w:tcW w:w="1559" w:type="dxa"/>
            <w:vAlign w:val="center"/>
          </w:tcPr>
          <w:p w14:paraId="6184303D" w14:textId="4476176B"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lang w:val="en-US"/>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lang w:val="en-US"/>
              </w:rPr>
              <w:instrText>ADDIN CSL_CITATION {"citationItems":[{"id":"ITEM-1","itemData":{"ISSN":"2364-4176","author":[{"dropping-particle":"","family":"Kumar","given":"Sanjeev","non-dropping-particle":"","parse-names":false,"suffix":""},{"dropping-particle":"","family":"Singh","given":"Davinder","non-dropping-particle":"","parse-names":false,"suffix":""}],"container-title":"Innovative Infrastructure Solutions","id":"ITEM-1","issued":{"date-parts":[["2021"]]},"page":"1-15","publisher":"Springer","title":"Municipal solid waste incineration bottom ash: a competent raw material with new possibilities","type":"article-journal","volume":"6"},"uris":["http://www.mendeley.com/documents/?uuid=808b21be-6904-4cc7-bdf6-01d34f9d6cc5"]}],"mendeley":{"formattedCitation":"(Kumar &amp; Singh, 2021)","plainTextFormattedCitation":"(Kumar &amp; Singh, 2021)","previouslyFormattedCitation":"(Kumar &amp; Singh, 2021)"},"properties":{"noteIndex":0},"schema":"https://github.com/citation-style-language/schema/raw/master/csl-citation.json"}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lang w:val="en-US"/>
              </w:rPr>
              <w:t>(Kumar &amp; Singh, 2021)</w:t>
            </w:r>
            <w:r w:rsidRPr="00704E49">
              <w:rPr>
                <w:rFonts w:ascii="Calibri" w:eastAsia="Calibri" w:hAnsi="Calibri" w:cs="Calibri"/>
                <w:sz w:val="18"/>
                <w:szCs w:val="18"/>
              </w:rPr>
              <w:fldChar w:fldCharType="end"/>
            </w:r>
          </w:p>
        </w:tc>
        <w:tc>
          <w:tcPr>
            <w:tcW w:w="4253" w:type="dxa"/>
            <w:vAlign w:val="center"/>
          </w:tcPr>
          <w:p w14:paraId="273B8D9F" w14:textId="77777777"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Outlined treatments for enhancing the quality of MSWI bottom ash, focusing on reducing heavy metal leaching and improving strength and alkali-silica reaction</w:t>
            </w:r>
            <w:r w:rsidRPr="00704E49">
              <w:rPr>
                <w:rFonts w:ascii="Calibri" w:eastAsia="等线" w:hAnsi="Calibri" w:cs="Calibri" w:hint="eastAsia"/>
                <w:sz w:val="18"/>
                <w:szCs w:val="18"/>
                <w:lang w:val="en-GB"/>
              </w:rPr>
              <w:t xml:space="preserve"> (ASR)</w:t>
            </w:r>
            <w:r w:rsidRPr="00704E49">
              <w:rPr>
                <w:rFonts w:ascii="Calibri" w:eastAsia="等线" w:hAnsi="Calibri" w:cs="Calibri"/>
                <w:sz w:val="18"/>
                <w:szCs w:val="18"/>
                <w:lang w:val="en-GB"/>
              </w:rPr>
              <w:t xml:space="preserve"> resistance of </w:t>
            </w:r>
            <w:r w:rsidRPr="00704E49">
              <w:rPr>
                <w:rFonts w:ascii="Calibri" w:eastAsia="等线" w:hAnsi="Calibri" w:cs="Calibri" w:hint="eastAsia"/>
                <w:sz w:val="18"/>
                <w:szCs w:val="18"/>
                <w:lang w:val="en-GB"/>
              </w:rPr>
              <w:t>bottom ash-blended</w:t>
            </w:r>
            <w:r w:rsidRPr="00704E49">
              <w:rPr>
                <w:rFonts w:ascii="Calibri" w:eastAsia="等线" w:hAnsi="Calibri" w:cs="Calibri"/>
                <w:sz w:val="18"/>
                <w:szCs w:val="18"/>
                <w:lang w:val="en-GB"/>
              </w:rPr>
              <w:t xml:space="preserve"> cementitious materials.</w:t>
            </w:r>
          </w:p>
        </w:tc>
        <w:tc>
          <w:tcPr>
            <w:tcW w:w="2385" w:type="dxa"/>
            <w:gridSpan w:val="2"/>
            <w:vAlign w:val="center"/>
          </w:tcPr>
          <w:p w14:paraId="32B4D119"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 xml:space="preserve">Treatment </w:t>
            </w:r>
            <w:proofErr w:type="spellStart"/>
            <w:r w:rsidRPr="00704E49">
              <w:rPr>
                <w:rFonts w:ascii="Calibri" w:eastAsia="等线" w:hAnsi="Calibri" w:cs="Calibri"/>
                <w:sz w:val="18"/>
                <w:szCs w:val="18"/>
              </w:rPr>
              <w:t>techniques</w:t>
            </w:r>
            <w:proofErr w:type="spellEnd"/>
          </w:p>
        </w:tc>
      </w:tr>
      <w:tr w:rsidR="00D76C75" w:rsidRPr="00704E49" w14:paraId="2660A0FB" w14:textId="77777777" w:rsidTr="00AC0648">
        <w:trPr>
          <w:trHeight w:val="598"/>
          <w:jc w:val="center"/>
        </w:trPr>
        <w:tc>
          <w:tcPr>
            <w:cnfStyle w:val="001000000000" w:firstRow="0" w:lastRow="0" w:firstColumn="1" w:lastColumn="0" w:oddVBand="0" w:evenVBand="0" w:oddHBand="0" w:evenHBand="0" w:firstRowFirstColumn="0" w:firstRowLastColumn="0" w:lastRowFirstColumn="0" w:lastRowLastColumn="0"/>
            <w:tcW w:w="851" w:type="dxa"/>
            <w:vMerge w:val="restart"/>
            <w:vAlign w:val="center"/>
          </w:tcPr>
          <w:p w14:paraId="2212972B" w14:textId="77777777" w:rsidR="00D76C75" w:rsidRPr="00704E49" w:rsidRDefault="00D76C75" w:rsidP="00D76C75">
            <w:pPr>
              <w:widowControl/>
              <w:tabs>
                <w:tab w:val="left" w:pos="5387"/>
              </w:tabs>
              <w:spacing w:before="60" w:after="60"/>
              <w:jc w:val="left"/>
              <w:rPr>
                <w:rFonts w:ascii="Calibri" w:eastAsia="等线" w:hAnsi="Calibri" w:cs="Calibri"/>
                <w:sz w:val="18"/>
                <w:szCs w:val="18"/>
              </w:rPr>
            </w:pPr>
            <w:r w:rsidRPr="00704E49">
              <w:rPr>
                <w:rFonts w:ascii="Calibri" w:eastAsia="等线" w:hAnsi="Calibri" w:cs="Calibri"/>
                <w:sz w:val="18"/>
                <w:szCs w:val="18"/>
              </w:rPr>
              <w:t>2022</w:t>
            </w:r>
          </w:p>
        </w:tc>
        <w:tc>
          <w:tcPr>
            <w:tcW w:w="1559" w:type="dxa"/>
            <w:vAlign w:val="center"/>
          </w:tcPr>
          <w:p w14:paraId="3E3E226A" w14:textId="57741C6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DOI":"10.1080/21622515.2021.2024890","ISSN":"2162-2515","author":[{"dropping-particle":"","family":"Devahi","given":"P","non-dropping-particle":"","parse-names":false,"suffix":""},{"dropping-particle":"","family":"Rathod","given":"Deendayal","non-dropping-particle":"","parse-names":false,"suffix":""},{"dropping-particle":"","family":"Muthukkumaran","given":"K","non-dropping-particle":"","parse-names":false,"suffix":""}],"container-title":"Environmental Technology Reviews","id":"ITEM-1","issue":"1","issued":{"date-parts":[["2022","12","31"]]},"note":"doi: 10.1080/21622515.2021.2024890","page":"33-48","publisher":"Taylor &amp; Francis","title":"Building material synthesization using municipal solid waste incineration ash: A state-of-the-art review","type":"article-journal","volume":"11"},"uris":["http://www.mendeley.com/documents/?uuid=b05bb3dc-d546-4324-9657-4fa670aa6aed"]}],"mendeley":{"formattedCitation":"(Devahi et al., 2022)","plainTextFormattedCitation":"(Devahi et al., 2022)","previouslyFormattedCitation":"(Devahi et al., 2022)"},"properties":{"noteIndex":0},"schema":"https://github.com/citation-style-language/schema/raw/master/csl-citation.json"}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(Devahi et al., 2022)</w:t>
            </w:r>
            <w:r w:rsidRPr="00704E49">
              <w:rPr>
                <w:rFonts w:ascii="Calibri" w:eastAsia="Calibri" w:hAnsi="Calibri" w:cs="Calibri"/>
                <w:sz w:val="18"/>
                <w:szCs w:val="18"/>
              </w:rPr>
              <w:fldChar w:fldCharType="end"/>
            </w:r>
          </w:p>
        </w:tc>
        <w:tc>
          <w:tcPr>
            <w:tcW w:w="4253" w:type="dxa"/>
            <w:vAlign w:val="center"/>
          </w:tcPr>
          <w:p w14:paraId="70BB1585"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lang w:val="en-GB"/>
              </w:rPr>
            </w:pPr>
            <w:r w:rsidRPr="00704E49">
              <w:rPr>
                <w:rFonts w:ascii="Calibri" w:eastAsia="等线" w:hAnsi="Calibri" w:cs="Calibri"/>
                <w:sz w:val="18"/>
                <w:szCs w:val="18"/>
                <w:lang w:val="en-GB"/>
              </w:rPr>
              <w:t>Summarized chemical and mineralogical composition data of MSWI bottom ash.</w:t>
            </w:r>
            <w:r w:rsidRPr="00704E49">
              <w:rPr>
                <w:rFonts w:ascii="Calibri" w:eastAsia="Calibri" w:hAnsi="Calibri" w:cs="Calibri"/>
                <w:sz w:val="18"/>
                <w:szCs w:val="18"/>
                <w:lang w:val="en-GB"/>
              </w:rPr>
              <w:t xml:space="preserve"> </w:t>
            </w:r>
          </w:p>
          <w:p w14:paraId="5435876D"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Calibri" w:hAnsi="Calibri" w:cs="Calibri"/>
                <w:sz w:val="18"/>
                <w:szCs w:val="18"/>
                <w:lang w:val="en-GB"/>
              </w:rPr>
              <w:t>Note: This review covers only a limited selection of publications.</w:t>
            </w:r>
          </w:p>
        </w:tc>
        <w:tc>
          <w:tcPr>
            <w:tcW w:w="2385" w:type="dxa"/>
            <w:gridSpan w:val="2"/>
            <w:vAlign w:val="center"/>
          </w:tcPr>
          <w:p w14:paraId="24994108"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Compositions</w:t>
            </w:r>
            <w:proofErr w:type="spellEnd"/>
          </w:p>
        </w:tc>
      </w:tr>
      <w:tr w:rsidR="00D76C75" w:rsidRPr="00704E49" w14:paraId="18F3B992" w14:textId="77777777" w:rsidTr="00AC0648">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851" w:type="dxa"/>
            <w:vMerge/>
            <w:vAlign w:val="center"/>
          </w:tcPr>
          <w:p w14:paraId="640C8530" w14:textId="77777777" w:rsidR="00D76C75" w:rsidRPr="00704E49" w:rsidRDefault="00D76C75" w:rsidP="00D76C75">
            <w:pPr>
              <w:widowControl/>
              <w:tabs>
                <w:tab w:val="left" w:pos="5387"/>
              </w:tabs>
              <w:spacing w:before="60" w:after="60"/>
              <w:jc w:val="left"/>
              <w:rPr>
                <w:rFonts w:ascii="Calibri" w:eastAsia="等线" w:hAnsi="Calibri" w:cs="Calibri"/>
                <w:sz w:val="18"/>
                <w:szCs w:val="18"/>
              </w:rPr>
            </w:pPr>
          </w:p>
        </w:tc>
        <w:tc>
          <w:tcPr>
            <w:tcW w:w="1559" w:type="dxa"/>
            <w:vAlign w:val="center"/>
          </w:tcPr>
          <w:p w14:paraId="4F5E71A1" w14:textId="3C51557D"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{"citationItems":[{"id":"ITEM-1","itemData":{"DOI":"https://doi.org/10.1016/j.wasman.2017.04.014","ISSN":"0956-053X","abstract":"With the rapid expansion of municipal solid waste (MSW) incineration, the applicability, technical status, and future improvement of MSW incineration attract much attention in China. This paper aims to be a sensible response, with the aid of a comparison between China and some representative developed regions including the EU, the U.S., Japan, South Korea, and Taiwan area. A large number of up-to-date data and information are collected to quantitatively and impartially support the comparison, which covers a wider range of key points including spatial distribution, temporal evolution, technologies, emissions, and perspectives. Analysis results show that MSW incineration is not an outdated choice; however, policy making should prevent the potentially insufficient utilization of MSW incinerators. The structure of MSW incineration technologies is changing in China. The ratio of plants using fluidized bed is decreasing due to various realistic reasons. Decision-makers would select suitable combustion technologies by comprehensive assessments, rather than just by costs. Air pollution control systems are improved with the implementation of China’s new emission standard. However, MSW incineration in China is currently blamed for substandard emissions. The reasons include the particular elemental compositions of Chinese MSW, the lack of operating experience, deficient fund for compliance with the emission standard, and the lack of reliable supervisory measures. Some perspectives and suggestions from both technical and managerial aspects are given for the compliance with the emission standard. This paper can provide strategic enlightenments for MSW management in China and other developing countries.","author":[{"dropping-particle":"","family":"Lu","given":"Jia-Wei","non-dropping-particle":"","parse-names":false,"suffix":""},{"dropping-particle":"","family":"Zhang","given":"Sukun","non-dropping-particle":"","parse-names":false,"suffix":""},{"dropping-particle":"","family":"Hai","given":"Jing","non-dropping-particle":"","parse-names":false,"suffix":""},{"dropping-particle":"","family":"Lei","given":"Ming","non-dropping-particle":"","parse-names":false,"suffix":""}],"container-title":"Waste Management","id":"ITEM-1","issued":{"date-parts":[["2017"]]},"page":"170-186","title":"Status and perspectives of municipal solid waste incineration in China: A comparison with developed regions","type":"article-journal","volume":"69"},"uris":["http://www.mendeley.com/documents/?uuid=e7d713db-63da-4338-901f-2c61e6b21e95"]}],"mendeley":{"formattedCitation":"(Lu et al., 2017)","plainTextFormattedCitation":"(Lu et al., 2017)","previouslyFormattedCitation":"(Lu et al., 2017)"},"properties":{"noteIndex":0},"schema":"https://github.com/citation-style-language/schema/raw/master/csl-citation.json"}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(Lu et al., 2017)</w:t>
            </w:r>
            <w:r w:rsidRPr="00704E49">
              <w:rPr>
                <w:rFonts w:ascii="Calibri" w:eastAsia="Calibri" w:hAnsi="Calibri" w:cs="Calibri"/>
                <w:sz w:val="18"/>
                <w:szCs w:val="18"/>
              </w:rPr>
              <w:fldChar w:fldCharType="end"/>
            </w:r>
          </w:p>
        </w:tc>
        <w:tc>
          <w:tcPr>
            <w:tcW w:w="4253" w:type="dxa"/>
            <w:vAlign w:val="center"/>
          </w:tcPr>
          <w:p w14:paraId="753A1C9B" w14:textId="77777777"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Compiled chemical composition</w:t>
            </w:r>
            <w:r w:rsidRPr="00704E49">
              <w:rPr>
                <w:rFonts w:ascii="Calibri" w:eastAsia="等线" w:hAnsi="Calibri" w:cs="Calibri" w:hint="eastAsia"/>
                <w:sz w:val="18"/>
                <w:szCs w:val="18"/>
                <w:lang w:val="en-GB"/>
              </w:rPr>
              <w:t xml:space="preserve"> data</w:t>
            </w:r>
            <w:r w:rsidRPr="00704E49">
              <w:rPr>
                <w:rFonts w:ascii="Calibri" w:eastAsia="等线" w:hAnsi="Calibri" w:cs="Calibri"/>
                <w:sz w:val="18"/>
                <w:szCs w:val="18"/>
                <w:lang w:val="en-GB"/>
              </w:rPr>
              <w:t xml:space="preserve"> of MSWI bottom ash and </w:t>
            </w:r>
            <w:r w:rsidRPr="00704E49">
              <w:rPr>
                <w:rFonts w:ascii="Calibri" w:eastAsia="等线" w:hAnsi="Calibri" w:cs="Calibri" w:hint="eastAsia"/>
                <w:sz w:val="18"/>
                <w:szCs w:val="18"/>
                <w:lang w:val="en-GB"/>
              </w:rPr>
              <w:t>introduced</w:t>
            </w:r>
            <w:r w:rsidRPr="00704E49">
              <w:rPr>
                <w:rFonts w:ascii="Calibri" w:eastAsia="Calibri" w:hAnsi="Calibri" w:cs="Calibri"/>
                <w:sz w:val="18"/>
                <w:szCs w:val="18"/>
                <w:lang w:val="en-GB"/>
              </w:rPr>
              <w:t xml:space="preserve"> specific pre-treatment methods applied </w:t>
            </w:r>
            <w:r w:rsidRPr="00704E49">
              <w:rPr>
                <w:rFonts w:ascii="Calibri" w:eastAsia="等线" w:hAnsi="Calibri" w:cs="Calibri" w:hint="eastAsia"/>
                <w:sz w:val="18"/>
                <w:szCs w:val="18"/>
                <w:lang w:val="en-GB"/>
              </w:rPr>
              <w:t xml:space="preserve">to </w:t>
            </w:r>
            <w:r w:rsidRPr="00704E49">
              <w:rPr>
                <w:rFonts w:ascii="Calibri" w:eastAsia="Calibri" w:hAnsi="Calibri" w:cs="Calibri"/>
                <w:sz w:val="18"/>
                <w:szCs w:val="18"/>
                <w:lang w:val="en-GB"/>
              </w:rPr>
              <w:t>bottom ash for improving the strength of blended cementitious materials.</w:t>
            </w:r>
          </w:p>
        </w:tc>
        <w:tc>
          <w:tcPr>
            <w:tcW w:w="2385" w:type="dxa"/>
            <w:gridSpan w:val="2"/>
            <w:vAlign w:val="center"/>
          </w:tcPr>
          <w:p w14:paraId="51684E75"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Compositions</w:t>
            </w:r>
            <w:proofErr w:type="spellEnd"/>
          </w:p>
          <w:p w14:paraId="2996CAED"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 xml:space="preserve">Treatment </w:t>
            </w:r>
            <w:proofErr w:type="spellStart"/>
            <w:r w:rsidRPr="00704E49">
              <w:rPr>
                <w:rFonts w:ascii="Calibri" w:eastAsia="等线" w:hAnsi="Calibri" w:cs="Calibri"/>
                <w:sz w:val="18"/>
                <w:szCs w:val="18"/>
              </w:rPr>
              <w:t>techniques</w:t>
            </w:r>
            <w:proofErr w:type="spellEnd"/>
          </w:p>
        </w:tc>
      </w:tr>
      <w:tr w:rsidR="00D76C75" w:rsidRPr="00704E49" w14:paraId="5324AF25" w14:textId="77777777" w:rsidTr="00AC0648">
        <w:trPr>
          <w:trHeight w:val="627"/>
          <w:jc w:val="center"/>
        </w:trPr>
        <w:tc>
          <w:tcPr>
            <w:cnfStyle w:val="001000000000" w:firstRow="0" w:lastRow="0" w:firstColumn="1" w:lastColumn="0" w:oddVBand="0" w:evenVBand="0" w:oddHBand="0" w:evenHBand="0" w:firstRowFirstColumn="0" w:firstRowLastColumn="0" w:lastRowFirstColumn="0" w:lastRowLastColumn="0"/>
            <w:tcW w:w="851" w:type="dxa"/>
            <w:vMerge/>
            <w:vAlign w:val="center"/>
          </w:tcPr>
          <w:p w14:paraId="5922D6DA" w14:textId="77777777" w:rsidR="00D76C75" w:rsidRPr="00704E49" w:rsidRDefault="00D76C75" w:rsidP="00D76C75">
            <w:pPr>
              <w:widowControl/>
              <w:tabs>
                <w:tab w:val="left" w:pos="5387"/>
              </w:tabs>
              <w:spacing w:before="60" w:after="60"/>
              <w:jc w:val="left"/>
              <w:rPr>
                <w:rFonts w:ascii="Calibri" w:eastAsia="等线" w:hAnsi="Calibri" w:cs="Calibri"/>
                <w:sz w:val="18"/>
                <w:szCs w:val="18"/>
              </w:rPr>
            </w:pPr>
          </w:p>
        </w:tc>
        <w:bookmarkStart w:id="4" w:name="_Hlk159408002"/>
        <w:tc>
          <w:tcPr>
            <w:tcW w:w="1559" w:type="dxa"/>
            <w:vAlign w:val="center"/>
          </w:tcPr>
          <w:p w14:paraId="2899479B" w14:textId="12BA4A5C"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author":[{"dropping-particle":"","family":"Chen","given":"Dan","non-dropping-particle":"","parse-names":false,"suffix":""},{"dropping-particle":"","family":"Zhang","given":"Yingying","non-dropping-particle":"","parse-names":false,"suffix":""},{"dropping-particle":"","family":"Xu","given":"Yao","non-dropping-particle":"","parse-names":false,"suffix":""},{"dropping-particle":"","family":"Nie","given":"Qing","non-dropping-particle":"","parse-names":false,"suffix":""},{"dropping-particle":"","family":"Yang","given":"Zhanbin","non-dropping-particle":"","parse-names":false,"suffix":""},{"dropping-particle":"","family":"Sheng","given":"Wenyu","non-dropping-particle":"","parse-names":false,"suffix":""},{"dropping-particle":"","family":"Qian","given":"Guangren","non-dropping-particle":"","parse-names":false,"suffix":""}],"container-title":"RSC advances","id":"ITEM-1","issue":"10","issued":{"date-parts":[["2022"]]},"page":"6279-6291","publisher":"Royal Society of Chemistry","title":"Municipal solid waste incineration residues recycled for typical construction materials—a review","type":"article-journal","volume":"12"},"uris":["http://www.mendeley.com/documents/?uuid=a539d385-50ad-4d52-af8c-f562f819ddf4"]}],"mendeley":{"formattedCitation":"(D. Chen et al., 2022)","plainTextFormattedCitation":"(D. Chen et al., 2022)","previouslyFormattedCitation":"(D. Chen et al., 2022)"},"properties":{"noteIndex":0},"schema":"https://github.com/citation-style-language/schema/raw/master/csl-citation.json"}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(D. Chen et al., 2022)</w:t>
            </w:r>
            <w:r w:rsidRPr="00704E49">
              <w:rPr>
                <w:rFonts w:ascii="Calibri" w:eastAsia="Calibri" w:hAnsi="Calibri" w:cs="Calibri"/>
                <w:sz w:val="18"/>
                <w:szCs w:val="18"/>
              </w:rPr>
              <w:fldChar w:fldCharType="end"/>
            </w:r>
            <w:bookmarkEnd w:id="4"/>
          </w:p>
        </w:tc>
        <w:tc>
          <w:tcPr>
            <w:tcW w:w="4253" w:type="dxa"/>
            <w:vAlign w:val="center"/>
          </w:tcPr>
          <w:p w14:paraId="1B5CDA0E"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Focused on the chemical composition of MSWI bottom ash, underscoring the need for pre-treatment.</w:t>
            </w:r>
          </w:p>
        </w:tc>
        <w:tc>
          <w:tcPr>
            <w:tcW w:w="2385" w:type="dxa"/>
            <w:gridSpan w:val="2"/>
            <w:vAlign w:val="center"/>
          </w:tcPr>
          <w:p w14:paraId="54260F45"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Compositions</w:t>
            </w:r>
            <w:proofErr w:type="spellEnd"/>
          </w:p>
        </w:tc>
      </w:tr>
      <w:tr w:rsidR="00D76C75" w:rsidRPr="00704E49" w14:paraId="7A4146D3" w14:textId="77777777" w:rsidTr="00AC0648">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851" w:type="dxa"/>
            <w:vMerge w:val="restart"/>
            <w:vAlign w:val="center"/>
          </w:tcPr>
          <w:p w14:paraId="415FF98E" w14:textId="77777777" w:rsidR="00D76C75" w:rsidRPr="00704E49" w:rsidRDefault="00D76C75" w:rsidP="00D76C75">
            <w:pPr>
              <w:widowControl/>
              <w:tabs>
                <w:tab w:val="left" w:pos="5387"/>
              </w:tabs>
              <w:spacing w:before="60" w:after="60"/>
              <w:jc w:val="left"/>
              <w:rPr>
                <w:rFonts w:ascii="Calibri" w:eastAsia="等线" w:hAnsi="Calibri" w:cs="Calibri"/>
                <w:sz w:val="18"/>
                <w:szCs w:val="18"/>
              </w:rPr>
            </w:pPr>
            <w:r w:rsidRPr="00704E49">
              <w:rPr>
                <w:rFonts w:ascii="Calibri" w:eastAsia="等线" w:hAnsi="Calibri" w:cs="Calibri"/>
                <w:sz w:val="18"/>
                <w:szCs w:val="18"/>
              </w:rPr>
              <w:t>2023</w:t>
            </w:r>
          </w:p>
        </w:tc>
        <w:tc>
          <w:tcPr>
            <w:tcW w:w="1559" w:type="dxa"/>
            <w:vAlign w:val="center"/>
          </w:tcPr>
          <w:p w14:paraId="19F591A2" w14:textId="1E0A00F9"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{"citationItems":[{"id":"ITEM-1","itemData":{"DOI":"https://doi.org/10.1016/j.cemconres.2023.107199","ISSN":"0008-8846","abstract":"To sustain the decarbonization of the cement industry, identifying new sources of supplementary cementitious materials (SCMs) is crucial. This review paper examines recent scientific literature on the understanding, assessment, and processing of future and emerging SCM resources. Among the SCMs that have generated significant interest are calcined clays, natural pozzolans, reclaimed coal fly ashes, certain biomass ashes, concrete recycling fines, and recycled glass. These SCMs are gaining market access, and their processing and performance have been well-established in local contexts. A growing body of research is considering a much wider array of by-product and waste materials as potential future SCM sources. These materials are often available in high volumes, but they typically require beneficiation processing to enhance their performance and compatibility as SCM. While promising results have been achieved for many materials, future research and development efforts are necessary to better understand their impact on cement and concrete properties and establish or improve the viability of the proposed beneficiation processing. In conclusion, this review highlights the latest developments in testing and specifications that support the uptake of a wider range of SCMs in cement and concrete.","author":[{"dropping-particle":"","family":"Snellings","given":"Ruben","non-dropping-particle":"","parse-names":false,"suffix":""},{"dropping-particle":"","family":"Suraneni","given":"Prannoy","non-dropping-particle":"","parse-names":false,"suffix":""},{"dropping-particle":"","family":"Skibsted","given":"Jørgen","non-dropping-particle":"","parse-names":false,"suffix":""}],"container-title":"Cement and Concrete Research","id":"ITEM-1","issued":{"date-parts":[["2023"]]},"page":"107199","title":"Future and emerging supplementary cementitious materials","type":"article-journal","volume":"171"},"uris":["http://www.mendeley.com/documents/?uuid=58a02489-48e9-4624-a36f-434116144a1f"]}],"mendeley":{"formattedCitation":"(Snellings et al., 2023)","plainTextFormattedCitation":"(Snellings et al., 2023)","previouslyFormattedCitation":"(Snellings et al., 2023)"},"properties":{"noteIndex":0},"schema":"https://github.com/citation-style-language/schema/raw/master/csl-citation.json"}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(Snellings et al., 2023)</w:t>
            </w:r>
            <w:r w:rsidRPr="00704E49">
              <w:rPr>
                <w:rFonts w:ascii="Calibri" w:eastAsia="Calibri" w:hAnsi="Calibri" w:cs="Calibri"/>
                <w:sz w:val="18"/>
                <w:szCs w:val="18"/>
              </w:rPr>
              <w:fldChar w:fldCharType="end"/>
            </w:r>
          </w:p>
        </w:tc>
        <w:tc>
          <w:tcPr>
            <w:tcW w:w="4253" w:type="dxa"/>
            <w:vAlign w:val="center"/>
          </w:tcPr>
          <w:p w14:paraId="7CE0AD8B" w14:textId="77777777" w:rsidR="00D76C75" w:rsidRPr="00704E49" w:rsidRDefault="00D76C75" w:rsidP="00D76C75">
            <w:pPr>
              <w:widowControl/>
              <w:tabs>
                <w:tab w:val="left" w:pos="5387"/>
              </w:tabs>
              <w:spacing w:before="60" w:after="60"/>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hint="eastAsia"/>
                <w:sz w:val="18"/>
                <w:szCs w:val="18"/>
                <w:lang w:val="en-GB"/>
              </w:rPr>
              <w:t>Provided an overview of</w:t>
            </w:r>
            <w:r w:rsidRPr="00704E49">
              <w:rPr>
                <w:rFonts w:ascii="Calibri" w:eastAsia="等线" w:hAnsi="Calibri" w:cs="Calibri"/>
                <w:sz w:val="18"/>
                <w:szCs w:val="18"/>
                <w:lang w:val="en-GB"/>
              </w:rPr>
              <w:t xml:space="preserve"> treatment methods for MSWI bottom ash, including </w:t>
            </w:r>
            <w:r w:rsidRPr="00704E49">
              <w:rPr>
                <w:rFonts w:ascii="Calibri" w:eastAsia="Calibri" w:hAnsi="Calibri" w:cs="Calibri"/>
                <w:sz w:val="18"/>
                <w:szCs w:val="18"/>
                <w:lang w:val="en-GB"/>
              </w:rPr>
              <w:t>dry milling (followed by sieving) and wet curing of dry milled ashes (at elevated temperature or in an alkaline solution).</w:t>
            </w:r>
          </w:p>
        </w:tc>
        <w:tc>
          <w:tcPr>
            <w:tcW w:w="2385" w:type="dxa"/>
            <w:gridSpan w:val="2"/>
            <w:vAlign w:val="center"/>
          </w:tcPr>
          <w:p w14:paraId="526EA874" w14:textId="77777777" w:rsidR="00D76C75" w:rsidRPr="00704E49" w:rsidRDefault="00D76C75" w:rsidP="00D76C75">
            <w:pPr>
              <w:widowControl/>
              <w:tabs>
                <w:tab w:val="left" w:pos="5387"/>
              </w:tabs>
              <w:spacing w:before="60" w:after="6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 xml:space="preserve">Treatment </w:t>
            </w:r>
            <w:proofErr w:type="spellStart"/>
            <w:r w:rsidRPr="00704E49">
              <w:rPr>
                <w:rFonts w:ascii="Calibri" w:eastAsia="等线" w:hAnsi="Calibri" w:cs="Calibri"/>
                <w:sz w:val="18"/>
                <w:szCs w:val="18"/>
              </w:rPr>
              <w:t>techniques</w:t>
            </w:r>
            <w:proofErr w:type="spellEnd"/>
          </w:p>
        </w:tc>
      </w:tr>
      <w:tr w:rsidR="00D76C75" w:rsidRPr="00704E49" w14:paraId="4EF7EB5F" w14:textId="77777777" w:rsidTr="00AC0648">
        <w:trPr>
          <w:trHeight w:val="832"/>
          <w:jc w:val="center"/>
        </w:trPr>
        <w:tc>
          <w:tcPr>
            <w:cnfStyle w:val="001000000000" w:firstRow="0" w:lastRow="0" w:firstColumn="1" w:lastColumn="0" w:oddVBand="0" w:evenVBand="0" w:oddHBand="0" w:evenHBand="0" w:firstRowFirstColumn="0" w:firstRowLastColumn="0" w:lastRowFirstColumn="0" w:lastRowLastColumn="0"/>
            <w:tcW w:w="851" w:type="dxa"/>
            <w:vMerge/>
            <w:vAlign w:val="center"/>
          </w:tcPr>
          <w:p w14:paraId="354700F1" w14:textId="77777777" w:rsidR="00D76C75" w:rsidRPr="00704E49" w:rsidRDefault="00D76C75" w:rsidP="00D76C75">
            <w:pPr>
              <w:widowControl/>
              <w:tabs>
                <w:tab w:val="left" w:pos="5387"/>
              </w:tabs>
              <w:spacing w:before="60" w:after="60"/>
              <w:rPr>
                <w:rFonts w:ascii="Calibri" w:eastAsia="等线" w:hAnsi="Calibri" w:cs="Calibri"/>
                <w:sz w:val="18"/>
                <w:szCs w:val="18"/>
              </w:rPr>
            </w:pPr>
          </w:p>
        </w:tc>
        <w:tc>
          <w:tcPr>
            <w:tcW w:w="1559" w:type="dxa"/>
            <w:vAlign w:val="center"/>
          </w:tcPr>
          <w:p w14:paraId="7FFBF3CA" w14:textId="192F742C"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18"/>
                <w:szCs w:val="18"/>
              </w:rPr>
            </w:pPr>
            <w:r w:rsidRPr="00704E49">
              <w:rPr>
                <w:rFonts w:ascii="Calibri" w:eastAsia="Calibri" w:hAnsi="Calibri" w:cs="Calibri"/>
                <w:sz w:val="18"/>
                <w:szCs w:val="18"/>
              </w:rPr>
              <w:fldChar w:fldCharType="begin" w:fldLock="1"/>
            </w:r>
            <w:r w:rsidR="005E7D08" w:rsidRPr="00704E49">
              <w:rPr>
                <w:rFonts w:ascii="Calibri" w:eastAsia="Calibri" w:hAnsi="Calibri" w:cs="Calibri"/>
                <w:sz w:val="18"/>
                <w:szCs w:val="18"/>
              </w:rPr>
              <w:instrText>ADDIN CSL_CITATION {"citationItems":[{"id":"ITEM-1","itemData":{"DOI":"https://doi.org/10.1016/j.jobe.2023.106386","ISSN":"2352-7102","abstract":"In recent years, the widespread application of waste incineration technology has led to an increased generation of municipal solid waste incineration (MSWI) bottom ash. There is growing interest in the use of MSWI bottom ash as a mineral resource to produce construction materials. The utilization potential of MSWI bottom ash is determined by its chemical and mineralogical compositions, which can vary from incineration plant to incineration plant, and even from batch to batch within a single incineration plant. The quality of MSWI bottom ash often needs to be improved before it can be used as supplementary cementitious material (SCM) and precursor for alkali-activated materials (AAM). This review summarizes the composition of MSWI bottom ash sourced from different regions and the proposed treatments for quality upgrades of MSWI bottom ash. The reactivity of MSWI bottom ash as SCM and AAM precursor is also discussed. Finally, the challenges regarding the use of MSWI bottom ash as a mineral resource for the production of construction materials are discussed and possible solutions are provided.","author":[{"dropping-particle":"","family":"Chen","given":"Boyu","non-dropping-particle":"","parse-names":false,"suffix":""},{"dropping-particle":"","family":"Perumal","given":"Priyadharshini","non-dropping-particle":"","parse-names":false,"suffix":""},{"dropping-particle":"","family":"Illikainen","given":"Mirja","non-dropping-particle":"","parse-names":false,"suffix":""},{"dropping-particle":"","family":"Ye","given":"Guang","non-dropping-particle":"","parse-names":false,"suffix":""}],"container-title":"Journal of Building Engineering","id":"ITEM-1","issued":{"date-parts":[["2023"]]},"page":"106386","title":"A review on the utilization of municipal solid waste incineration (MSWI) bottom ash as a mineral resource for construction materials","type":"article-journal"},"uris":["http://www.mendeley.com/documents/?uuid=b7f7effa-3d46-40ea-8291-8ea0990a65b2"]}],"mendeley":{"formattedCitation":"(B. Chen et al., 2023)","plainTextFormattedCitation":"(B. Chen et al., 2023)","previouslyFormattedCitation":"(B. Chen et al., 2023)"},"properties":{"noteIndex":0},"schema":"https://github.com/citation-style-language/schema/raw/master/csl-citation.json"}</w:instrText>
            </w:r>
            <w:r w:rsidRPr="00704E49">
              <w:rPr>
                <w:rFonts w:ascii="Calibri" w:eastAsia="Calibri" w:hAnsi="Calibri" w:cs="Calibri"/>
                <w:sz w:val="18"/>
                <w:szCs w:val="18"/>
              </w:rPr>
              <w:fldChar w:fldCharType="separate"/>
            </w:r>
            <w:r w:rsidR="0015688F" w:rsidRPr="00704E49">
              <w:rPr>
                <w:rFonts w:ascii="Calibri" w:eastAsia="Calibri" w:hAnsi="Calibri" w:cs="Calibri"/>
                <w:noProof/>
                <w:sz w:val="18"/>
                <w:szCs w:val="18"/>
              </w:rPr>
              <w:t>(B. Chen et al., 2023)</w:t>
            </w:r>
            <w:r w:rsidRPr="00704E49">
              <w:rPr>
                <w:rFonts w:ascii="Calibri" w:eastAsia="Calibri" w:hAnsi="Calibri" w:cs="Calibri"/>
                <w:sz w:val="18"/>
                <w:szCs w:val="18"/>
              </w:rPr>
              <w:fldChar w:fldCharType="end"/>
            </w:r>
          </w:p>
        </w:tc>
        <w:tc>
          <w:tcPr>
            <w:tcW w:w="4253" w:type="dxa"/>
            <w:vAlign w:val="center"/>
          </w:tcPr>
          <w:p w14:paraId="7FC48F34" w14:textId="77777777" w:rsidR="00D76C75" w:rsidRPr="00704E49" w:rsidRDefault="00D76C75" w:rsidP="00D76C75">
            <w:pPr>
              <w:widowControl/>
              <w:tabs>
                <w:tab w:val="left" w:pos="5387"/>
              </w:tabs>
              <w:spacing w:before="60" w:after="60"/>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r w:rsidRPr="00704E49">
              <w:rPr>
                <w:rFonts w:ascii="Calibri" w:eastAsia="等线" w:hAnsi="Calibri" w:cs="Calibri"/>
                <w:sz w:val="18"/>
                <w:szCs w:val="18"/>
                <w:lang w:val="en-GB"/>
              </w:rPr>
              <w:t xml:space="preserve">Conducted analysis on the compositional variety of MSWI bottom ash </w:t>
            </w:r>
            <w:r w:rsidRPr="00704E49">
              <w:rPr>
                <w:rFonts w:ascii="Calibri" w:eastAsia="等线" w:hAnsi="Calibri" w:cs="Calibri" w:hint="eastAsia"/>
                <w:sz w:val="18"/>
                <w:szCs w:val="18"/>
                <w:lang w:val="en-GB"/>
              </w:rPr>
              <w:t xml:space="preserve">produced </w:t>
            </w:r>
            <w:r w:rsidRPr="00704E49">
              <w:rPr>
                <w:rFonts w:ascii="Calibri" w:eastAsia="等线" w:hAnsi="Calibri" w:cs="Calibri"/>
                <w:sz w:val="18"/>
                <w:szCs w:val="18"/>
                <w:lang w:val="en-GB"/>
              </w:rPr>
              <w:t>in different countries and discussed reactivity and pre-treatment techniques of MSWI bottom ash.</w:t>
            </w:r>
          </w:p>
        </w:tc>
        <w:tc>
          <w:tcPr>
            <w:tcW w:w="2385" w:type="dxa"/>
            <w:gridSpan w:val="2"/>
            <w:vAlign w:val="center"/>
          </w:tcPr>
          <w:p w14:paraId="32B6C3CA"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Compositions</w:t>
            </w:r>
            <w:proofErr w:type="spellEnd"/>
          </w:p>
          <w:p w14:paraId="2881E6A3"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Reactivity</w:t>
            </w:r>
            <w:proofErr w:type="spellEnd"/>
          </w:p>
          <w:p w14:paraId="1A79D548" w14:textId="77777777" w:rsidR="00D76C75" w:rsidRPr="00704E49" w:rsidRDefault="00D76C75" w:rsidP="00D76C75">
            <w:pPr>
              <w:widowControl/>
              <w:tabs>
                <w:tab w:val="left" w:pos="5387"/>
              </w:tabs>
              <w:spacing w:before="60" w:after="6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 xml:space="preserve">Treatment </w:t>
            </w:r>
            <w:proofErr w:type="spellStart"/>
            <w:r w:rsidRPr="00704E49">
              <w:rPr>
                <w:rFonts w:ascii="Calibri" w:eastAsia="等线" w:hAnsi="Calibri" w:cs="Calibri"/>
                <w:sz w:val="18"/>
                <w:szCs w:val="18"/>
              </w:rPr>
              <w:t>techniques</w:t>
            </w:r>
            <w:proofErr w:type="spellEnd"/>
          </w:p>
        </w:tc>
      </w:tr>
      <w:bookmarkEnd w:id="3"/>
    </w:tbl>
    <w:p w14:paraId="180D688A" w14:textId="77777777" w:rsidR="00D76C75" w:rsidRPr="00704E49" w:rsidRDefault="00D76C75" w:rsidP="00D76C75">
      <w:pPr>
        <w:widowControl/>
        <w:spacing w:after="160" w:line="259" w:lineRule="auto"/>
        <w:jc w:val="left"/>
        <w:rPr>
          <w:rFonts w:ascii="Cambria" w:eastAsia="等线 Light" w:hAnsi="Cambria" w:cs="Times New Roman"/>
          <w:b/>
          <w:bCs/>
          <w:kern w:val="0"/>
          <w:sz w:val="28"/>
          <w:szCs w:val="28"/>
          <w:lang w:eastAsia="en-US"/>
        </w:rPr>
      </w:pPr>
      <w:r w:rsidRPr="00704E49">
        <w:rPr>
          <w:rFonts w:ascii="Calibri" w:eastAsia="等线" w:hAnsi="Calibri" w:cs="Arial"/>
          <w:kern w:val="0"/>
          <w:sz w:val="22"/>
        </w:rPr>
        <w:br w:type="page"/>
      </w:r>
    </w:p>
    <w:p w14:paraId="5570457B" w14:textId="77777777" w:rsidR="00D76C75" w:rsidRPr="00704E49" w:rsidRDefault="00D76C75" w:rsidP="00D76C75">
      <w:pPr>
        <w:keepNext/>
        <w:keepLines/>
        <w:widowControl/>
        <w:spacing w:before="240" w:after="240"/>
        <w:ind w:left="432"/>
        <w:jc w:val="left"/>
        <w:outlineLvl w:val="0"/>
        <w:rPr>
          <w:rFonts w:ascii="Cambria" w:eastAsia="等线 Light" w:hAnsi="Cambria" w:cs="Times New Roman"/>
          <w:b/>
          <w:bCs/>
          <w:kern w:val="0"/>
          <w:sz w:val="28"/>
          <w:szCs w:val="28"/>
          <w:lang w:eastAsia="en-US"/>
        </w:rPr>
        <w:sectPr w:rsidR="00D76C75" w:rsidRPr="00704E49" w:rsidSect="00D76C75">
          <w:pgSz w:w="11906" w:h="16838"/>
          <w:pgMar w:top="1440" w:right="1440" w:bottom="1418" w:left="1418" w:header="709" w:footer="709" w:gutter="0"/>
          <w:cols w:space="708"/>
          <w:docGrid w:linePitch="360"/>
        </w:sectPr>
      </w:pPr>
    </w:p>
    <w:p w14:paraId="4F26673C" w14:textId="0298D2EE" w:rsidR="00D76C75" w:rsidRPr="00704E49" w:rsidRDefault="00D76C75" w:rsidP="00D76C75">
      <w:pPr>
        <w:keepNext/>
        <w:widowControl/>
        <w:spacing w:after="200"/>
        <w:jc w:val="center"/>
        <w:rPr>
          <w:rFonts w:ascii="Calibri" w:eastAsia="宋体" w:hAnsi="Calibri" w:cs="Arial"/>
          <w:b/>
          <w:bCs/>
          <w:kern w:val="0"/>
          <w:sz w:val="18"/>
          <w:szCs w:val="18"/>
          <w:lang w:eastAsia="en-US"/>
        </w:rPr>
      </w:pPr>
      <w:bookmarkStart w:id="5" w:name="_Ref187861336"/>
      <w:bookmarkEnd w:id="1"/>
      <w:r w:rsidRPr="00704E49">
        <w:rPr>
          <w:rFonts w:ascii="Calibri" w:eastAsia="宋体" w:hAnsi="Calibri" w:cs="Arial"/>
          <w:b/>
          <w:bCs/>
          <w:kern w:val="0"/>
          <w:sz w:val="18"/>
          <w:szCs w:val="18"/>
          <w:lang w:eastAsia="en-US"/>
        </w:rPr>
        <w:lastRenderedPageBreak/>
        <w:t xml:space="preserve">Table S </w:t>
      </w:r>
      <w:r w:rsidRPr="00704E49">
        <w:rPr>
          <w:rFonts w:ascii="Calibri" w:eastAsia="宋体" w:hAnsi="Calibri" w:cs="Arial"/>
          <w:b/>
          <w:bCs/>
          <w:kern w:val="0"/>
          <w:sz w:val="18"/>
          <w:szCs w:val="18"/>
          <w:lang w:eastAsia="en-US"/>
        </w:rPr>
        <w:fldChar w:fldCharType="begin"/>
      </w:r>
      <w:r w:rsidRPr="00704E49">
        <w:rPr>
          <w:rFonts w:ascii="Calibri" w:eastAsia="宋体" w:hAnsi="Calibri" w:cs="Arial"/>
          <w:b/>
          <w:bCs/>
          <w:kern w:val="0"/>
          <w:sz w:val="18"/>
          <w:szCs w:val="18"/>
          <w:lang w:eastAsia="en-US"/>
        </w:rPr>
        <w:instrText xml:space="preserve"> SEQ Table_S \* ARABIC </w:instrText>
      </w:r>
      <w:r w:rsidRPr="00704E49">
        <w:rPr>
          <w:rFonts w:ascii="Calibri" w:eastAsia="宋体" w:hAnsi="Calibri" w:cs="Arial"/>
          <w:b/>
          <w:bCs/>
          <w:kern w:val="0"/>
          <w:sz w:val="18"/>
          <w:szCs w:val="18"/>
          <w:lang w:eastAsia="en-US"/>
        </w:rPr>
        <w:fldChar w:fldCharType="separate"/>
      </w:r>
      <w:r w:rsidR="004A38FA" w:rsidRPr="00704E49">
        <w:rPr>
          <w:rFonts w:ascii="Calibri" w:eastAsia="宋体" w:hAnsi="Calibri" w:cs="Arial"/>
          <w:b/>
          <w:bCs/>
          <w:noProof/>
          <w:kern w:val="0"/>
          <w:sz w:val="18"/>
          <w:szCs w:val="18"/>
          <w:lang w:eastAsia="en-US"/>
        </w:rPr>
        <w:t>2</w:t>
      </w:r>
      <w:r w:rsidRPr="00704E49">
        <w:rPr>
          <w:rFonts w:ascii="Calibri" w:eastAsia="宋体" w:hAnsi="Calibri" w:cs="Arial"/>
          <w:b/>
          <w:bCs/>
          <w:kern w:val="0"/>
          <w:sz w:val="18"/>
          <w:szCs w:val="18"/>
          <w:lang w:eastAsia="en-US"/>
        </w:rPr>
        <w:fldChar w:fldCharType="end"/>
      </w:r>
      <w:bookmarkEnd w:id="5"/>
      <w:r w:rsidRPr="00704E49">
        <w:rPr>
          <w:rFonts w:ascii="Calibri" w:eastAsia="宋体" w:hAnsi="Calibri" w:cs="Latha"/>
          <w:b/>
          <w:bCs/>
          <w:kern w:val="0"/>
          <w:sz w:val="18"/>
          <w:szCs w:val="18"/>
          <w:lang w:eastAsia="en-US"/>
        </w:rPr>
        <w:t xml:space="preserve"> Summary of studies</w:t>
      </w:r>
      <w:r w:rsidRPr="00704E49">
        <w:rPr>
          <w:rFonts w:ascii="Calibri" w:eastAsia="宋体" w:hAnsi="Calibri" w:cs="Latha" w:hint="eastAsia"/>
          <w:b/>
          <w:bCs/>
          <w:kern w:val="0"/>
          <w:sz w:val="18"/>
          <w:szCs w:val="18"/>
        </w:rPr>
        <w:t xml:space="preserve"> on the use</w:t>
      </w:r>
      <w:r w:rsidRPr="00704E49">
        <w:rPr>
          <w:rFonts w:ascii="Calibri" w:eastAsia="宋体" w:hAnsi="Calibri" w:cs="Latha"/>
          <w:b/>
          <w:bCs/>
          <w:kern w:val="0"/>
          <w:sz w:val="18"/>
          <w:szCs w:val="18"/>
          <w:lang w:eastAsia="en-US"/>
        </w:rPr>
        <w:t xml:space="preserve"> of MSWI bottom ash as</w:t>
      </w:r>
      <w:r w:rsidRPr="00704E49">
        <w:rPr>
          <w:rFonts w:ascii="Calibri" w:eastAsia="宋体" w:hAnsi="Calibri" w:cs="Latha" w:hint="eastAsia"/>
          <w:b/>
          <w:bCs/>
          <w:kern w:val="0"/>
          <w:sz w:val="18"/>
          <w:szCs w:val="18"/>
        </w:rPr>
        <w:t xml:space="preserve"> a</w:t>
      </w:r>
      <w:r w:rsidRPr="00704E49">
        <w:rPr>
          <w:rFonts w:ascii="Calibri" w:eastAsia="宋体" w:hAnsi="Calibri" w:cs="Latha"/>
          <w:b/>
          <w:bCs/>
          <w:kern w:val="0"/>
          <w:sz w:val="18"/>
          <w:szCs w:val="18"/>
          <w:lang w:eastAsia="en-US"/>
        </w:rPr>
        <w:t xml:space="preserve"> supplementary cementitious material</w:t>
      </w:r>
      <w:r w:rsidRPr="00704E49">
        <w:rPr>
          <w:rFonts w:ascii="Calibri" w:eastAsia="宋体" w:hAnsi="Calibri" w:cs="Latha" w:hint="eastAsia"/>
          <w:b/>
          <w:bCs/>
          <w:kern w:val="0"/>
          <w:sz w:val="18"/>
          <w:szCs w:val="18"/>
        </w:rPr>
        <w:t xml:space="preserve">, </w:t>
      </w:r>
      <w:r w:rsidRPr="00704E49">
        <w:rPr>
          <w:rFonts w:ascii="Calibri" w:eastAsia="宋体" w:hAnsi="Calibri" w:cs="Latha"/>
          <w:b/>
          <w:bCs/>
          <w:kern w:val="0"/>
          <w:sz w:val="18"/>
          <w:szCs w:val="18"/>
        </w:rPr>
        <w:t>including material characteristics, processing methods, mix designs, curing conditions, specimen sizes, and compressive strength</w:t>
      </w:r>
      <w:r w:rsidRPr="00704E49">
        <w:rPr>
          <w:rFonts w:ascii="Calibri" w:eastAsia="宋体" w:hAnsi="Calibri" w:cs="Latha"/>
          <w:b/>
          <w:bCs/>
          <w:kern w:val="0"/>
          <w:sz w:val="18"/>
          <w:szCs w:val="18"/>
          <w:lang w:eastAsia="en-US"/>
        </w:rPr>
        <w:t>.</w:t>
      </w:r>
    </w:p>
    <w:tbl>
      <w:tblPr>
        <w:tblStyle w:val="PlainTable211"/>
        <w:tblW w:w="0" w:type="auto"/>
        <w:jc w:val="center"/>
        <w:tblLayout w:type="fixed"/>
        <w:tblLook w:val="04A0" w:firstRow="1" w:lastRow="0" w:firstColumn="1" w:lastColumn="0" w:noHBand="0" w:noVBand="1"/>
      </w:tblPr>
      <w:tblGrid>
        <w:gridCol w:w="779"/>
        <w:gridCol w:w="1414"/>
        <w:gridCol w:w="1085"/>
        <w:gridCol w:w="236"/>
        <w:gridCol w:w="597"/>
        <w:gridCol w:w="142"/>
        <w:gridCol w:w="142"/>
        <w:gridCol w:w="708"/>
        <w:gridCol w:w="567"/>
        <w:gridCol w:w="284"/>
        <w:gridCol w:w="901"/>
        <w:gridCol w:w="762"/>
        <w:gridCol w:w="935"/>
        <w:gridCol w:w="765"/>
        <w:gridCol w:w="1045"/>
        <w:gridCol w:w="1103"/>
        <w:gridCol w:w="1571"/>
        <w:gridCol w:w="944"/>
      </w:tblGrid>
      <w:tr w:rsidR="00D76C75" w:rsidRPr="00704E49" w14:paraId="35950174" w14:textId="77777777" w:rsidTr="00AC0648">
        <w:trPr>
          <w:cnfStyle w:val="100000000000" w:firstRow="1" w:lastRow="0" w:firstColumn="0" w:lastColumn="0" w:oddVBand="0" w:evenVBand="0" w:oddHBand="0"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779" w:type="dxa"/>
            <w:vMerge w:val="restart"/>
            <w:vAlign w:val="center"/>
            <w:hideMark/>
          </w:tcPr>
          <w:p w14:paraId="0F5343B0" w14:textId="77777777" w:rsidR="00D76C75" w:rsidRPr="00704E49" w:rsidRDefault="00D76C75" w:rsidP="00D76C75">
            <w:pPr>
              <w:widowControl/>
              <w:jc w:val="center"/>
              <w:rPr>
                <w:rFonts w:ascii="Calibri" w:eastAsia="等线" w:hAnsi="Calibri" w:cs="Calibri"/>
                <w:sz w:val="14"/>
                <w:szCs w:val="14"/>
              </w:rPr>
            </w:pPr>
            <w:bookmarkStart w:id="6" w:name="_Hlk160450112"/>
            <w:proofErr w:type="spellStart"/>
            <w:r w:rsidRPr="00704E49">
              <w:rPr>
                <w:rFonts w:ascii="Calibri" w:eastAsia="等线" w:hAnsi="Calibri" w:cs="Calibri"/>
                <w:sz w:val="14"/>
                <w:szCs w:val="14"/>
              </w:rPr>
              <w:t>Origin</w:t>
            </w:r>
            <w:proofErr w:type="spellEnd"/>
          </w:p>
        </w:tc>
        <w:tc>
          <w:tcPr>
            <w:tcW w:w="1414" w:type="dxa"/>
            <w:vMerge w:val="restart"/>
            <w:vAlign w:val="center"/>
            <w:hideMark/>
          </w:tcPr>
          <w:p w14:paraId="08587714"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Particle size of collected MSWI bottom ash (</w:t>
            </w:r>
            <w:r w:rsidRPr="00704E49">
              <w:rPr>
                <w:rFonts w:ascii="Calibri" w:eastAsia="等线" w:hAnsi="Calibri" w:cs="Calibri"/>
                <w:sz w:val="14"/>
                <w:szCs w:val="14"/>
              </w:rPr>
              <w:t>μ</w:t>
            </w:r>
            <w:r w:rsidRPr="00704E49">
              <w:rPr>
                <w:rFonts w:ascii="Calibri" w:eastAsia="等线" w:hAnsi="Calibri" w:cs="Calibri"/>
                <w:sz w:val="14"/>
                <w:szCs w:val="14"/>
                <w:lang w:val="en-GB"/>
              </w:rPr>
              <w:t>m) and industrial-scale treatment</w:t>
            </w:r>
          </w:p>
        </w:tc>
        <w:tc>
          <w:tcPr>
            <w:tcW w:w="1085" w:type="dxa"/>
            <w:vMerge w:val="restart"/>
            <w:vAlign w:val="center"/>
            <w:hideMark/>
          </w:tcPr>
          <w:p w14:paraId="44DD0053"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 xml:space="preserve">Laboratory-scale treatments and remaining metallic </w:t>
            </w:r>
            <w:proofErr w:type="spellStart"/>
            <w:r w:rsidRPr="00704E49">
              <w:rPr>
                <w:rFonts w:ascii="Calibri" w:eastAsia="等线" w:hAnsi="Calibri" w:cs="Calibri"/>
                <w:sz w:val="14"/>
                <w:szCs w:val="14"/>
                <w:lang w:val="en-GB"/>
              </w:rPr>
              <w:t>aluminum</w:t>
            </w:r>
            <w:proofErr w:type="spellEnd"/>
            <w:r w:rsidRPr="00704E49">
              <w:rPr>
                <w:rFonts w:ascii="Calibri" w:eastAsia="等线" w:hAnsi="Calibri" w:cs="Calibri"/>
                <w:sz w:val="14"/>
                <w:szCs w:val="14"/>
                <w:lang w:val="en-GB"/>
              </w:rPr>
              <w:t xml:space="preserve"> (Al) content (wt.%)</w:t>
            </w:r>
          </w:p>
        </w:tc>
        <w:tc>
          <w:tcPr>
            <w:tcW w:w="236" w:type="dxa"/>
            <w:tcBorders>
              <w:top w:val="single" w:sz="4" w:space="0" w:color="auto"/>
              <w:bottom w:val="nil"/>
            </w:tcBorders>
            <w:vAlign w:val="center"/>
          </w:tcPr>
          <w:p w14:paraId="6D62439F"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597" w:type="dxa"/>
            <w:tcBorders>
              <w:bottom w:val="nil"/>
            </w:tcBorders>
            <w:vAlign w:val="center"/>
            <w:hideMark/>
          </w:tcPr>
          <w:p w14:paraId="6DC911EF"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SiO</w:t>
            </w:r>
            <w:r w:rsidRPr="00704E49">
              <w:rPr>
                <w:rFonts w:ascii="Calibri" w:eastAsia="等线" w:hAnsi="Calibri" w:cs="Calibri"/>
                <w:sz w:val="14"/>
                <w:szCs w:val="14"/>
                <w:vertAlign w:val="subscript"/>
              </w:rPr>
              <w:t>2</w:t>
            </w:r>
          </w:p>
        </w:tc>
        <w:tc>
          <w:tcPr>
            <w:tcW w:w="992" w:type="dxa"/>
            <w:gridSpan w:val="3"/>
            <w:tcBorders>
              <w:bottom w:val="nil"/>
            </w:tcBorders>
            <w:vAlign w:val="center"/>
            <w:hideMark/>
          </w:tcPr>
          <w:p w14:paraId="55C202AC"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CaO</w:t>
            </w:r>
            <w:proofErr w:type="spellEnd"/>
          </w:p>
        </w:tc>
        <w:tc>
          <w:tcPr>
            <w:tcW w:w="567" w:type="dxa"/>
            <w:tcBorders>
              <w:bottom w:val="nil"/>
            </w:tcBorders>
            <w:vAlign w:val="center"/>
          </w:tcPr>
          <w:p w14:paraId="0EED5C46"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Al</w:t>
            </w:r>
            <w:r w:rsidRPr="00704E49">
              <w:rPr>
                <w:rFonts w:ascii="Calibri" w:eastAsia="等线" w:hAnsi="Calibri" w:cs="Calibri"/>
                <w:sz w:val="14"/>
                <w:szCs w:val="14"/>
                <w:vertAlign w:val="subscript"/>
              </w:rPr>
              <w:t>2</w:t>
            </w:r>
            <w:r w:rsidRPr="00704E49">
              <w:rPr>
                <w:rFonts w:ascii="Calibri" w:eastAsia="等线" w:hAnsi="Calibri" w:cs="Calibri"/>
                <w:sz w:val="14"/>
                <w:szCs w:val="14"/>
              </w:rPr>
              <w:t>O</w:t>
            </w:r>
            <w:r w:rsidRPr="00704E49">
              <w:rPr>
                <w:rFonts w:ascii="Calibri" w:eastAsia="等线" w:hAnsi="Calibri" w:cs="Calibri"/>
                <w:sz w:val="14"/>
                <w:szCs w:val="14"/>
                <w:vertAlign w:val="subscript"/>
              </w:rPr>
              <w:t>3</w:t>
            </w:r>
          </w:p>
        </w:tc>
        <w:tc>
          <w:tcPr>
            <w:tcW w:w="284" w:type="dxa"/>
            <w:tcBorders>
              <w:top w:val="single" w:sz="4" w:space="0" w:color="auto"/>
              <w:bottom w:val="nil"/>
            </w:tcBorders>
            <w:vAlign w:val="center"/>
          </w:tcPr>
          <w:p w14:paraId="42F9B076" w14:textId="77777777" w:rsidR="00D76C75" w:rsidRPr="00704E49" w:rsidRDefault="00D76C75" w:rsidP="00D76C75">
            <w:pPr>
              <w:widowControl/>
              <w:jc w:val="left"/>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1663" w:type="dxa"/>
            <w:gridSpan w:val="2"/>
            <w:vAlign w:val="center"/>
            <w:hideMark/>
          </w:tcPr>
          <w:p w14:paraId="7FF38032"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Binder</w:t>
            </w:r>
          </w:p>
        </w:tc>
        <w:tc>
          <w:tcPr>
            <w:tcW w:w="935" w:type="dxa"/>
            <w:vMerge w:val="restart"/>
            <w:vAlign w:val="center"/>
          </w:tcPr>
          <w:p w14:paraId="3B89FC7E"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Water </w:t>
            </w:r>
            <w:proofErr w:type="spellStart"/>
            <w:r w:rsidRPr="00704E49">
              <w:rPr>
                <w:rFonts w:ascii="Calibri" w:eastAsia="等线" w:hAnsi="Calibri" w:cs="Calibri"/>
                <w:sz w:val="14"/>
                <w:szCs w:val="14"/>
              </w:rPr>
              <w:t>to</w:t>
            </w:r>
            <w:proofErr w:type="spellEnd"/>
            <w:r w:rsidRPr="00704E49">
              <w:rPr>
                <w:rFonts w:ascii="Calibri" w:eastAsia="等线" w:hAnsi="Calibri" w:cs="Calibri"/>
                <w:sz w:val="14"/>
                <w:szCs w:val="14"/>
              </w:rPr>
              <w:t xml:space="preserve"> binder ratio</w:t>
            </w:r>
          </w:p>
        </w:tc>
        <w:tc>
          <w:tcPr>
            <w:tcW w:w="765" w:type="dxa"/>
            <w:vMerge w:val="restart"/>
            <w:vAlign w:val="center"/>
          </w:tcPr>
          <w:p w14:paraId="37A85134"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Mix ratio</w:t>
            </w:r>
          </w:p>
        </w:tc>
        <w:tc>
          <w:tcPr>
            <w:tcW w:w="1045" w:type="dxa"/>
            <w:vMerge w:val="restart"/>
            <w:vAlign w:val="center"/>
            <w:hideMark/>
          </w:tcPr>
          <w:p w14:paraId="4F401327"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Curing</w:t>
            </w:r>
            <w:proofErr w:type="spell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conditions</w:t>
            </w:r>
            <w:proofErr w:type="spellEnd"/>
          </w:p>
        </w:tc>
        <w:tc>
          <w:tcPr>
            <w:tcW w:w="1103" w:type="dxa"/>
            <w:vMerge w:val="restart"/>
            <w:vAlign w:val="center"/>
            <w:hideMark/>
          </w:tcPr>
          <w:p w14:paraId="682BA225"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Dimensions of tested specimen (mm)</w:t>
            </w:r>
          </w:p>
        </w:tc>
        <w:tc>
          <w:tcPr>
            <w:tcW w:w="1571" w:type="dxa"/>
            <w:vMerge w:val="restart"/>
            <w:vAlign w:val="center"/>
            <w:hideMark/>
          </w:tcPr>
          <w:p w14:paraId="6CF8639E"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 xml:space="preserve">Compressive strength at maximum </w:t>
            </w:r>
            <w:r w:rsidRPr="00704E49">
              <w:rPr>
                <w:rFonts w:ascii="Calibri" w:eastAsia="等线" w:hAnsi="Calibri" w:cs="Calibri" w:hint="eastAsia"/>
                <w:sz w:val="14"/>
                <w:szCs w:val="14"/>
                <w:lang w:val="en-GB"/>
              </w:rPr>
              <w:t xml:space="preserve">ash </w:t>
            </w:r>
            <w:r w:rsidRPr="00704E49">
              <w:rPr>
                <w:rFonts w:ascii="Calibri" w:eastAsia="等线" w:hAnsi="Calibri" w:cs="Calibri"/>
                <w:sz w:val="14"/>
                <w:szCs w:val="14"/>
                <w:lang w:val="en-GB"/>
              </w:rPr>
              <w:t>dosage (MPa)</w:t>
            </w:r>
          </w:p>
        </w:tc>
        <w:tc>
          <w:tcPr>
            <w:tcW w:w="944" w:type="dxa"/>
            <w:vMerge w:val="restart"/>
            <w:vAlign w:val="center"/>
            <w:hideMark/>
          </w:tcPr>
          <w:p w14:paraId="1012A01C"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References</w:t>
            </w:r>
            <w:proofErr w:type="spellEnd"/>
          </w:p>
        </w:tc>
      </w:tr>
      <w:tr w:rsidR="00D76C75" w:rsidRPr="00704E49" w14:paraId="4C8C791E"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Merge/>
            <w:vAlign w:val="center"/>
            <w:hideMark/>
          </w:tcPr>
          <w:p w14:paraId="30658A38" w14:textId="77777777" w:rsidR="00D76C75" w:rsidRPr="00704E49" w:rsidRDefault="00D76C75" w:rsidP="00D76C75">
            <w:pPr>
              <w:widowControl/>
              <w:jc w:val="center"/>
              <w:rPr>
                <w:rFonts w:ascii="Calibri" w:eastAsia="等线" w:hAnsi="Calibri" w:cs="Calibri"/>
                <w:sz w:val="14"/>
                <w:szCs w:val="14"/>
              </w:rPr>
            </w:pPr>
          </w:p>
        </w:tc>
        <w:tc>
          <w:tcPr>
            <w:tcW w:w="1414" w:type="dxa"/>
            <w:vMerge/>
            <w:vAlign w:val="center"/>
            <w:hideMark/>
          </w:tcPr>
          <w:p w14:paraId="4274605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1085" w:type="dxa"/>
            <w:vMerge/>
            <w:vAlign w:val="center"/>
            <w:hideMark/>
          </w:tcPr>
          <w:p w14:paraId="05A07C7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236" w:type="dxa"/>
            <w:tcBorders>
              <w:top w:val="nil"/>
              <w:bottom w:val="nil"/>
            </w:tcBorders>
            <w:vAlign w:val="center"/>
          </w:tcPr>
          <w:p w14:paraId="78D4988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2156" w:type="dxa"/>
            <w:gridSpan w:val="5"/>
            <w:tcBorders>
              <w:top w:val="nil"/>
              <w:bottom w:val="single" w:sz="4" w:space="0" w:color="auto"/>
            </w:tcBorders>
            <w:vAlign w:val="center"/>
            <w:hideMark/>
          </w:tcPr>
          <w:p w14:paraId="0EED74E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roofErr w:type="spellStart"/>
            <w:proofErr w:type="gramStart"/>
            <w:r w:rsidRPr="00704E49">
              <w:rPr>
                <w:rFonts w:ascii="Calibri" w:eastAsia="等线" w:hAnsi="Calibri" w:cs="Calibri"/>
                <w:sz w:val="14"/>
                <w:szCs w:val="14"/>
              </w:rPr>
              <w:t>wt</w:t>
            </w:r>
            <w:proofErr w:type="spellEnd"/>
            <w:r w:rsidRPr="00704E49">
              <w:rPr>
                <w:rFonts w:ascii="Calibri" w:eastAsia="等线" w:hAnsi="Calibri" w:cs="Calibri"/>
                <w:sz w:val="14"/>
                <w:szCs w:val="14"/>
              </w:rPr>
              <w:t>.%</w:t>
            </w:r>
            <w:proofErr w:type="gram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from</w:t>
            </w:r>
            <w:proofErr w:type="spellEnd"/>
            <w:r w:rsidRPr="00704E49">
              <w:rPr>
                <w:rFonts w:ascii="Calibri" w:eastAsia="等线" w:hAnsi="Calibri" w:cs="Calibri"/>
                <w:sz w:val="14"/>
                <w:szCs w:val="14"/>
              </w:rPr>
              <w:t xml:space="preserve"> XRF</w:t>
            </w:r>
          </w:p>
        </w:tc>
        <w:tc>
          <w:tcPr>
            <w:tcW w:w="284" w:type="dxa"/>
            <w:tcBorders>
              <w:top w:val="nil"/>
              <w:bottom w:val="nil"/>
            </w:tcBorders>
            <w:vAlign w:val="center"/>
          </w:tcPr>
          <w:p w14:paraId="46AB6CF5"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bottom w:val="single" w:sz="4" w:space="0" w:color="auto"/>
            </w:tcBorders>
            <w:vAlign w:val="center"/>
            <w:hideMark/>
          </w:tcPr>
          <w:p w14:paraId="397FCA1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MSWI bottom ash (Max. wt.%)</w:t>
            </w:r>
          </w:p>
        </w:tc>
        <w:tc>
          <w:tcPr>
            <w:tcW w:w="762" w:type="dxa"/>
            <w:vAlign w:val="center"/>
            <w:hideMark/>
          </w:tcPr>
          <w:p w14:paraId="7677F0E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Other</w:t>
            </w:r>
            <w:proofErr w:type="spellEnd"/>
            <w:r w:rsidRPr="00704E49">
              <w:rPr>
                <w:rFonts w:ascii="Calibri" w:eastAsia="等线" w:hAnsi="Calibri" w:cs="Calibri"/>
                <w:sz w:val="14"/>
                <w:szCs w:val="14"/>
              </w:rPr>
              <w:t xml:space="preserve"> binders</w:t>
            </w:r>
          </w:p>
        </w:tc>
        <w:tc>
          <w:tcPr>
            <w:tcW w:w="935" w:type="dxa"/>
            <w:vMerge/>
            <w:vAlign w:val="center"/>
            <w:hideMark/>
          </w:tcPr>
          <w:p w14:paraId="72628C8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65" w:type="dxa"/>
            <w:vMerge/>
            <w:vAlign w:val="center"/>
            <w:hideMark/>
          </w:tcPr>
          <w:p w14:paraId="49B5645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1045" w:type="dxa"/>
            <w:vMerge/>
            <w:vAlign w:val="center"/>
            <w:hideMark/>
          </w:tcPr>
          <w:p w14:paraId="4ED6527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1103" w:type="dxa"/>
            <w:vMerge/>
            <w:vAlign w:val="center"/>
            <w:hideMark/>
          </w:tcPr>
          <w:p w14:paraId="0F266D4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1571" w:type="dxa"/>
            <w:vMerge/>
            <w:vAlign w:val="center"/>
            <w:hideMark/>
          </w:tcPr>
          <w:p w14:paraId="503C2D8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44" w:type="dxa"/>
            <w:vMerge/>
            <w:vAlign w:val="center"/>
            <w:hideMark/>
          </w:tcPr>
          <w:p w14:paraId="2FAAF52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r>
      <w:tr w:rsidR="00D76C75" w:rsidRPr="00704E49" w14:paraId="43110A2E"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440F4F76"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Belgium</w:t>
            </w:r>
          </w:p>
        </w:tc>
        <w:tc>
          <w:tcPr>
            <w:tcW w:w="1414" w:type="dxa"/>
            <w:vAlign w:val="center"/>
          </w:tcPr>
          <w:p w14:paraId="1A683A5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&lt; 250</w:t>
            </w:r>
          </w:p>
          <w:p w14:paraId="2B93A2C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(as - received: fresh 0 -2 mm, 2 - 6 mm, 6 - 15 mm)</w:t>
            </w:r>
          </w:p>
          <w:p w14:paraId="59D79CF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1085" w:type="dxa"/>
            <w:vAlign w:val="center"/>
          </w:tcPr>
          <w:p w14:paraId="3FAD2A7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Ball milled + water treated+ dried (105 °C)</w:t>
            </w:r>
          </w:p>
          <w:p w14:paraId="7143BBD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lang w:val="en-GB"/>
              </w:rPr>
            </w:pPr>
          </w:p>
        </w:tc>
        <w:tc>
          <w:tcPr>
            <w:tcW w:w="236" w:type="dxa"/>
            <w:tcBorders>
              <w:top w:val="nil"/>
              <w:bottom w:val="nil"/>
            </w:tcBorders>
            <w:vAlign w:val="center"/>
          </w:tcPr>
          <w:p w14:paraId="4E89734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881" w:type="dxa"/>
            <w:gridSpan w:val="3"/>
            <w:tcBorders>
              <w:top w:val="single" w:sz="4" w:space="0" w:color="auto"/>
              <w:bottom w:val="single" w:sz="4" w:space="0" w:color="auto"/>
            </w:tcBorders>
            <w:vAlign w:val="center"/>
          </w:tcPr>
          <w:p w14:paraId="0A176A2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32.1 - 56.6</w:t>
            </w:r>
          </w:p>
        </w:tc>
        <w:tc>
          <w:tcPr>
            <w:tcW w:w="708" w:type="dxa"/>
            <w:tcBorders>
              <w:top w:val="single" w:sz="4" w:space="0" w:color="auto"/>
              <w:bottom w:val="single" w:sz="4" w:space="0" w:color="auto"/>
            </w:tcBorders>
            <w:vAlign w:val="center"/>
          </w:tcPr>
          <w:p w14:paraId="3F4FC5A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14.47 - 22.70</w:t>
            </w:r>
          </w:p>
        </w:tc>
        <w:tc>
          <w:tcPr>
            <w:tcW w:w="567" w:type="dxa"/>
            <w:tcBorders>
              <w:top w:val="single" w:sz="4" w:space="0" w:color="auto"/>
              <w:bottom w:val="single" w:sz="4" w:space="0" w:color="auto"/>
            </w:tcBorders>
            <w:vAlign w:val="center"/>
          </w:tcPr>
          <w:p w14:paraId="725DE0E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7.77-10.4</w:t>
            </w:r>
          </w:p>
        </w:tc>
        <w:tc>
          <w:tcPr>
            <w:tcW w:w="284" w:type="dxa"/>
            <w:tcBorders>
              <w:top w:val="nil"/>
              <w:bottom w:val="nil"/>
            </w:tcBorders>
            <w:vAlign w:val="center"/>
          </w:tcPr>
          <w:p w14:paraId="16899380"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36EC54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w:t>
            </w:r>
          </w:p>
        </w:tc>
        <w:tc>
          <w:tcPr>
            <w:tcW w:w="762" w:type="dxa"/>
            <w:vAlign w:val="center"/>
          </w:tcPr>
          <w:p w14:paraId="23845BC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w:t>
            </w:r>
          </w:p>
          <w:p w14:paraId="27C299A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52.5 N)</w:t>
            </w:r>
          </w:p>
        </w:tc>
        <w:tc>
          <w:tcPr>
            <w:tcW w:w="935" w:type="dxa"/>
            <w:vAlign w:val="center"/>
          </w:tcPr>
          <w:p w14:paraId="6F8E18E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0.5</w:t>
            </w:r>
          </w:p>
        </w:tc>
        <w:tc>
          <w:tcPr>
            <w:tcW w:w="765" w:type="dxa"/>
            <w:vAlign w:val="center"/>
          </w:tcPr>
          <w:p w14:paraId="395F13D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 (M)</w:t>
            </w:r>
          </w:p>
        </w:tc>
        <w:tc>
          <w:tcPr>
            <w:tcW w:w="1045" w:type="dxa"/>
            <w:vAlign w:val="center"/>
          </w:tcPr>
          <w:p w14:paraId="0F88ED8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1103" w:type="dxa"/>
            <w:vAlign w:val="center"/>
          </w:tcPr>
          <w:p w14:paraId="130E413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 </w:t>
            </w:r>
          </w:p>
        </w:tc>
        <w:tc>
          <w:tcPr>
            <w:tcW w:w="1571" w:type="dxa"/>
            <w:vAlign w:val="center"/>
          </w:tcPr>
          <w:p w14:paraId="24E9CD8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decreased compared with reference mortar</w:t>
            </w:r>
          </w:p>
        </w:tc>
        <w:tc>
          <w:tcPr>
            <w:tcW w:w="944" w:type="dxa"/>
            <w:vAlign w:val="center"/>
          </w:tcPr>
          <w:p w14:paraId="387D8982" w14:textId="4003D3A8"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{"citationItems":[{"id":"ITEM-1","itemData":{"DOI":"10.1016/j.conbuildmat.2020.120485","ISBN":"0950-0618","ISSN":"09500618","abstract":"Two billion tonnes of municipal solid wastes are generated globally, and incineration of non-recyclable wastes is done extensively in developed countries. A large part of the resulting ashes remains unutilized due to various obstacles and ends up in landfills. Use in concrete as aggregate or supplementary cementitious material is a potential high value application, which is deterred mainly by presence of metallic aluminium that causes cracks from aluminium hydroxide formation and high porosity from hydrogen release on reaction with water. Various researchers have used treatment with alkalis prior to utilization as a mitigation strategy. This paper studied an alternative technique, pre-treatment by immersing ash in water allowing the aluminium to react in presence of inherent alkalis in the ash and accelerating the reaction by increasing temperature. The effect of this treatment on mitigating expansion and hydration and strength development of mortar with 25% replacement of cement by ash has been studied and is reported in this article. The treatment was found to be effective and the strength of mortar with 25% pre-treated ash replacement exceeded 85% of that of the control mortar at 90 days of age. A possible beneficiation scheme for the industrial treatment of ashes to maximise the resource utilisation is also proposed.","author":[{"dropping-particle":"","family":"Joseph","given":"Aneeta Mary","non-dropping-particle":"","parse-names":false,"suffix":""},{"dropping-particle":"","family":"Snellings","given":"Ruben","non-dropping-particle":"","parse-names":false,"suffix":""},{"dropping-particle":"","family":"Nielsen","given":"Peter","non-dropping-particle":"","parse-names":false,"suffix":""},{"dropping-particle":"","family":"Matthys","given":"Stijn","non-dropping-particle":"","parse-names":false,"suffix":""},{"dropping-particle":"De","family":"Belie","given":"Nele","non-dropping-particle":"","parse-names":false,"suffix":""}],"container-title":"Construction and Building Materials","id":"ITEM-1","issued":{"date-parts":[["2020"]]},"page":"120485","publisher":"Elsevier Ltd","title":"Pre-treatment and utilisation of municipal solid waste incineration bottom ashes towards a circular economy","type":"article-journal","volume":"260"},"uris":["http://www.mendeley.com/documents/?uuid=60ec89bb-3719-4d61-ac1d-d42a5f838475"]}],"mendeley":{"formattedCitation":"(Aneeta Mary Joseph et al., 2020)","plainTextFormattedCitation":"(Aneeta Mary Joseph et al., 2020)","previouslyFormattedCitation":"(Aneeta Mary Joseph et al., 2020)"},"properties":{"noteIndex":0},"schema":"https://github.com/citation-style-language/schema/raw/master/csl-citation.json"}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(Aneeta Mary Joseph et al., 2020)</w:t>
            </w:r>
            <w:r w:rsidRPr="00704E49">
              <w:rPr>
                <w:rFonts w:ascii="Calibri" w:eastAsia="等线" w:hAnsi="Calibri" w:cs="Calibri"/>
                <w:sz w:val="14"/>
                <w:szCs w:val="14"/>
              </w:rPr>
              <w:fldChar w:fldCharType="end"/>
            </w:r>
          </w:p>
        </w:tc>
      </w:tr>
      <w:tr w:rsidR="00D76C75" w:rsidRPr="00704E49" w14:paraId="61C3ECBB"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7FC06B43"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Belgium</w:t>
            </w:r>
          </w:p>
        </w:tc>
        <w:tc>
          <w:tcPr>
            <w:tcW w:w="1414" w:type="dxa"/>
            <w:vAlign w:val="center"/>
          </w:tcPr>
          <w:p w14:paraId="13DFE06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142</w:t>
            </w:r>
          </w:p>
          <w:p w14:paraId="0EB09B0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10</w:t>
            </w:r>
          </w:p>
          <w:p w14:paraId="2837F33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 xml:space="preserve"> - </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2 - 6 mm)</w:t>
            </w:r>
          </w:p>
        </w:tc>
        <w:tc>
          <w:tcPr>
            <w:tcW w:w="1085" w:type="dxa"/>
            <w:vAlign w:val="center"/>
          </w:tcPr>
          <w:p w14:paraId="057A947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Ball milled + sieved</w:t>
            </w:r>
          </w:p>
          <w:p w14:paraId="4A9E93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lang w:val="en-GB"/>
              </w:rPr>
            </w:pPr>
            <w:r w:rsidRPr="00704E49">
              <w:rPr>
                <w:rFonts w:ascii="Calibri" w:eastAsia="等线" w:hAnsi="Calibri" w:cs="Calibri"/>
                <w:sz w:val="14"/>
                <w:szCs w:val="14"/>
                <w:lang w:val="en-GB"/>
              </w:rPr>
              <w:t xml:space="preserve">Metallic Al: 0.19 </w:t>
            </w:r>
          </w:p>
        </w:tc>
        <w:tc>
          <w:tcPr>
            <w:tcW w:w="236" w:type="dxa"/>
            <w:tcBorders>
              <w:top w:val="nil"/>
              <w:bottom w:val="nil"/>
            </w:tcBorders>
            <w:vAlign w:val="center"/>
          </w:tcPr>
          <w:p w14:paraId="4088337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442B76E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43.9</w:t>
            </w:r>
          </w:p>
        </w:tc>
        <w:tc>
          <w:tcPr>
            <w:tcW w:w="850" w:type="dxa"/>
            <w:gridSpan w:val="2"/>
            <w:tcBorders>
              <w:top w:val="single" w:sz="4" w:space="0" w:color="auto"/>
              <w:bottom w:val="single" w:sz="4" w:space="0" w:color="auto"/>
            </w:tcBorders>
            <w:vAlign w:val="center"/>
          </w:tcPr>
          <w:p w14:paraId="527C925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18.4</w:t>
            </w:r>
          </w:p>
        </w:tc>
        <w:tc>
          <w:tcPr>
            <w:tcW w:w="567" w:type="dxa"/>
            <w:tcBorders>
              <w:top w:val="single" w:sz="4" w:space="0" w:color="auto"/>
              <w:left w:val="nil"/>
              <w:bottom w:val="single" w:sz="4" w:space="0" w:color="auto"/>
              <w:right w:val="nil"/>
            </w:tcBorders>
            <w:vAlign w:val="center"/>
          </w:tcPr>
          <w:p w14:paraId="1007166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10.2</w:t>
            </w:r>
          </w:p>
        </w:tc>
        <w:tc>
          <w:tcPr>
            <w:tcW w:w="284" w:type="dxa"/>
            <w:tcBorders>
              <w:top w:val="nil"/>
              <w:bottom w:val="nil"/>
            </w:tcBorders>
            <w:vAlign w:val="center"/>
          </w:tcPr>
          <w:p w14:paraId="7AF45957"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0B14679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w:t>
            </w:r>
          </w:p>
        </w:tc>
        <w:tc>
          <w:tcPr>
            <w:tcW w:w="762" w:type="dxa"/>
            <w:vAlign w:val="center"/>
          </w:tcPr>
          <w:p w14:paraId="28D64DB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w:t>
            </w:r>
          </w:p>
          <w:p w14:paraId="4071359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52.5R)</w:t>
            </w:r>
          </w:p>
        </w:tc>
        <w:tc>
          <w:tcPr>
            <w:tcW w:w="935" w:type="dxa"/>
            <w:vAlign w:val="center"/>
          </w:tcPr>
          <w:p w14:paraId="5222755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0.48 (OPC concrete)</w:t>
            </w:r>
          </w:p>
          <w:p w14:paraId="0EFD6CD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0.46 (BA blended concrete)</w:t>
            </w:r>
          </w:p>
          <w:p w14:paraId="2B4652B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43DF4C8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w:t>
            </w:r>
          </w:p>
        </w:tc>
        <w:tc>
          <w:tcPr>
            <w:tcW w:w="1045" w:type="dxa"/>
            <w:vAlign w:val="center"/>
          </w:tcPr>
          <w:p w14:paraId="6887DD6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2 °C, 95 ± 5 % RH</w:t>
            </w:r>
          </w:p>
        </w:tc>
        <w:tc>
          <w:tcPr>
            <w:tcW w:w="1103" w:type="dxa"/>
            <w:vAlign w:val="center"/>
          </w:tcPr>
          <w:p w14:paraId="3F4512F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150 × 150 × 150 </w:t>
            </w:r>
          </w:p>
        </w:tc>
        <w:tc>
          <w:tcPr>
            <w:tcW w:w="1571" w:type="dxa"/>
            <w:vAlign w:val="center"/>
          </w:tcPr>
          <w:p w14:paraId="57F4FB5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2d and 7d: close to reference concrete</w:t>
            </w:r>
          </w:p>
          <w:p w14:paraId="6C5C587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and 91d: higher than reference concrete</w:t>
            </w:r>
          </w:p>
        </w:tc>
        <w:tc>
          <w:tcPr>
            <w:tcW w:w="944" w:type="dxa"/>
            <w:vAlign w:val="center"/>
          </w:tcPr>
          <w:p w14:paraId="2DBA5E64" w14:textId="2853E06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{"citationItems":[{"id":"ITEM-1","itemData":{"DOI":"10.1016/j.resconrec.2020.105356","ISSN":"18790658","abstract":"An effective approach to reduce the enormous volume of non-hazardous non-recyclable waste (namely municipal solid waste, or MSW) is incineration. The incineration can be a viable solution given that landfilling of MSW is both expensive and polluting. The obtained bottom ash is a material with great potential to be used in cementitious products as partial cement replacement. This has the double advantage of reducing landfill and reducing the cement content in cementitious products (since cement is largely responsible for their carbon footprint). So far, most studies have been done at laboratory scale and mainly in pastes and mortars. In this research, the valorisation of ground MSW incineration (MSWI) bottom ash as substitute for Portland cement in concrete is analysed. This work presents the insights obtained regarding the use of MSWI ashes as binder in concrete, and their constitutive behaviour in terms of fresh and hardened properties, as well as durability properties. As a result, a well-performing concrete mix containing processed MSWI ashes as 20% of the binder has been designed. Quantification of the overall sustainability, in relation to the expected environmental impact, was also performed considering a preliminary life cycle assessment. The valorisation of the studied ashes by their use in concrete is a promising path to increase the sustainability of concrete and to upscale a waste product.","author":[{"dropping-particle":"","family":"Alderete","given":"N M","non-dropping-particle":"","parse-names":false,"suffix":""},{"dropping-particle":"","family":"Joseph","given":"A M","non-dropping-particle":"","parse-names":false,"suffix":""},{"dropping-particle":"Van","family":"Heede","given":"P","non-dropping-particle":"den","parse-names":false,"suffix":""},{"dropping-particle":"","family":"Matthys","given":"S","non-dropping-particle":"","parse-names":false,"suffix":""},{"dropping-particle":"De","family":"Belie","given":"N","non-dropping-particle":"","parse-names":false,"suffix":""}],"container-title":"Resources, Conservation and Recycling","id":"ITEM-1","issued":{"date-parts":[["2021"]]},"publisher":"Elsevier B.V.","title":"Effective and sustainable use of municipal solid waste incineration bottom ash in concrete regarding strength and durability","type":"article-journal","volume":"167"},"uris":["http://www.mendeley.com/documents/?uuid=6bee21eb-44ce-47bf-b1f7-0e3b7e78aec5"]}],"mendeley":{"formattedCitation":"(Alderete et al., 2021)","plainTextFormattedCitation":"(Alderete et al., 2021)","previouslyFormattedCitation":"(Alderete et al., 2021)"},"properties":{"noteIndex":0},"schema":"https://github.com/citation-style-language/schema/raw/master/csl-citation.json"}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(Alderete et al., 2021)</w:t>
            </w:r>
            <w:r w:rsidRPr="00704E49">
              <w:rPr>
                <w:rFonts w:ascii="Calibri" w:eastAsia="等线" w:hAnsi="Calibri" w:cs="Calibri"/>
                <w:sz w:val="14"/>
                <w:szCs w:val="14"/>
              </w:rPr>
              <w:fldChar w:fldCharType="end"/>
            </w:r>
          </w:p>
        </w:tc>
      </w:tr>
      <w:tr w:rsidR="00D76C75" w:rsidRPr="00704E49" w14:paraId="06268C88"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45DA9EF"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Canada</w:t>
            </w:r>
          </w:p>
        </w:tc>
        <w:tc>
          <w:tcPr>
            <w:tcW w:w="1414" w:type="dxa"/>
            <w:vAlign w:val="center"/>
          </w:tcPr>
          <w:p w14:paraId="084D142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Average</w:t>
            </w:r>
            <w:proofErr w:type="spellEnd"/>
            <w:r w:rsidRPr="00704E49">
              <w:rPr>
                <w:rFonts w:ascii="Calibri" w:eastAsia="等线" w:hAnsi="Calibri" w:cs="Calibri"/>
                <w:sz w:val="14"/>
                <w:szCs w:val="14"/>
              </w:rPr>
              <w:t>: 9.3</w:t>
            </w:r>
          </w:p>
        </w:tc>
        <w:tc>
          <w:tcPr>
            <w:tcW w:w="1085" w:type="dxa"/>
            <w:vAlign w:val="center"/>
          </w:tcPr>
          <w:p w14:paraId="100B36A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Milled</w:t>
            </w:r>
            <w:proofErr w:type="spellEnd"/>
          </w:p>
          <w:p w14:paraId="193D2CC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rPr>
            </w:pPr>
            <w:r w:rsidRPr="00704E49">
              <w:rPr>
                <w:rFonts w:ascii="Calibri" w:eastAsia="等线" w:hAnsi="Calibri" w:cs="Calibri"/>
                <w:sz w:val="14"/>
                <w:szCs w:val="14"/>
              </w:rPr>
              <w:t>Metallic Al: 0.06</w:t>
            </w:r>
          </w:p>
        </w:tc>
        <w:tc>
          <w:tcPr>
            <w:tcW w:w="236" w:type="dxa"/>
            <w:tcBorders>
              <w:top w:val="nil"/>
              <w:bottom w:val="nil"/>
            </w:tcBorders>
            <w:vAlign w:val="center"/>
          </w:tcPr>
          <w:p w14:paraId="5AEC261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307DF8A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28.64</w:t>
            </w:r>
          </w:p>
        </w:tc>
        <w:tc>
          <w:tcPr>
            <w:tcW w:w="850" w:type="dxa"/>
            <w:gridSpan w:val="2"/>
            <w:tcBorders>
              <w:top w:val="single" w:sz="4" w:space="0" w:color="auto"/>
              <w:bottom w:val="single" w:sz="4" w:space="0" w:color="auto"/>
            </w:tcBorders>
            <w:vAlign w:val="center"/>
          </w:tcPr>
          <w:p w14:paraId="6BB7FBC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22.91</w:t>
            </w:r>
          </w:p>
        </w:tc>
        <w:tc>
          <w:tcPr>
            <w:tcW w:w="567" w:type="dxa"/>
            <w:tcBorders>
              <w:top w:val="single" w:sz="4" w:space="0" w:color="auto"/>
              <w:left w:val="nil"/>
              <w:bottom w:val="single" w:sz="4" w:space="0" w:color="auto"/>
              <w:right w:val="nil"/>
            </w:tcBorders>
            <w:vAlign w:val="center"/>
          </w:tcPr>
          <w:p w14:paraId="0C42B91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14.18</w:t>
            </w:r>
          </w:p>
        </w:tc>
        <w:tc>
          <w:tcPr>
            <w:tcW w:w="284" w:type="dxa"/>
            <w:tcBorders>
              <w:top w:val="nil"/>
              <w:bottom w:val="nil"/>
            </w:tcBorders>
            <w:vAlign w:val="center"/>
          </w:tcPr>
          <w:p w14:paraId="76C473CF"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699BCA1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w:t>
            </w:r>
          </w:p>
        </w:tc>
        <w:tc>
          <w:tcPr>
            <w:tcW w:w="762" w:type="dxa"/>
            <w:vAlign w:val="center"/>
          </w:tcPr>
          <w:p w14:paraId="18A4411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w:t>
            </w:r>
          </w:p>
        </w:tc>
        <w:tc>
          <w:tcPr>
            <w:tcW w:w="935" w:type="dxa"/>
            <w:vAlign w:val="center"/>
          </w:tcPr>
          <w:p w14:paraId="7062422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 xml:space="preserve">Paste (pressurized compact </w:t>
            </w:r>
            <w:proofErr w:type="spellStart"/>
            <w:r w:rsidRPr="00704E49">
              <w:rPr>
                <w:rFonts w:ascii="Calibri" w:eastAsia="等线" w:hAnsi="Calibri" w:cs="Calibri"/>
                <w:sz w:val="14"/>
                <w:szCs w:val="14"/>
                <w:lang w:val="en-GB"/>
              </w:rPr>
              <w:t>molding</w:t>
            </w:r>
            <w:proofErr w:type="spellEnd"/>
            <w:r w:rsidRPr="00704E49">
              <w:rPr>
                <w:rFonts w:ascii="Calibri" w:eastAsia="等线" w:hAnsi="Calibri" w:cs="Calibri"/>
                <w:sz w:val="14"/>
                <w:szCs w:val="14"/>
                <w:lang w:val="en-GB"/>
              </w:rPr>
              <w:t>): 0.15</w:t>
            </w:r>
          </w:p>
          <w:p w14:paraId="048FFB5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lastRenderedPageBreak/>
              <w:t>Concrete (dry cast): 0.35</w:t>
            </w:r>
          </w:p>
        </w:tc>
        <w:tc>
          <w:tcPr>
            <w:tcW w:w="765" w:type="dxa"/>
            <w:vAlign w:val="center"/>
          </w:tcPr>
          <w:p w14:paraId="22A98B6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lastRenderedPageBreak/>
              <w:t>P</w:t>
            </w:r>
          </w:p>
          <w:p w14:paraId="5D569A2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w:t>
            </w:r>
          </w:p>
        </w:tc>
        <w:tc>
          <w:tcPr>
            <w:tcW w:w="1045" w:type="dxa"/>
            <w:vAlign w:val="center"/>
          </w:tcPr>
          <w:p w14:paraId="5E63D36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100% RH</w:t>
            </w:r>
          </w:p>
        </w:tc>
        <w:tc>
          <w:tcPr>
            <w:tcW w:w="1103" w:type="dxa"/>
            <w:vAlign w:val="center"/>
          </w:tcPr>
          <w:p w14:paraId="36B21A7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Cylindrical paste: 15 (diameter) × 30 (height)</w:t>
            </w:r>
          </w:p>
          <w:p w14:paraId="69AD3CD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Concrete: 100 × 76 × 31</w:t>
            </w:r>
          </w:p>
        </w:tc>
        <w:tc>
          <w:tcPr>
            <w:tcW w:w="1571" w:type="dxa"/>
            <w:vAlign w:val="center"/>
          </w:tcPr>
          <w:p w14:paraId="3603CB2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Paste: 76.51</w:t>
            </w:r>
            <w:r w:rsidRPr="00704E49">
              <w:rPr>
                <w:rFonts w:ascii="Calibri" w:eastAsia="等线" w:hAnsi="Calibri" w:cs="Calibri"/>
                <w:sz w:val="14"/>
                <w:szCs w:val="14"/>
                <w:vertAlign w:val="superscript"/>
                <w:lang w:val="en-GB"/>
              </w:rPr>
              <w:t>90d</w:t>
            </w:r>
          </w:p>
          <w:p w14:paraId="4A94DF0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(88.3 % of reference OPC)</w:t>
            </w:r>
          </w:p>
          <w:p w14:paraId="4C3DA75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Concrete: 32.02</w:t>
            </w:r>
            <w:r w:rsidRPr="00704E49">
              <w:rPr>
                <w:rFonts w:ascii="Calibri" w:eastAsia="等线" w:hAnsi="Calibri" w:cs="Calibri"/>
                <w:sz w:val="14"/>
                <w:szCs w:val="14"/>
                <w:vertAlign w:val="superscript"/>
                <w:lang w:val="en-GB"/>
              </w:rPr>
              <w:t>90d</w:t>
            </w:r>
          </w:p>
          <w:p w14:paraId="7448FE6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(18.4 % higher than reference OPC concrete)</w:t>
            </w:r>
          </w:p>
        </w:tc>
        <w:tc>
          <w:tcPr>
            <w:tcW w:w="944" w:type="dxa"/>
            <w:vAlign w:val="center"/>
          </w:tcPr>
          <w:p w14:paraId="2F55B5A7" w14:textId="49E23A1D"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{"citationItems":[{"id":"ITEM-1","itemData":{"DOI":"10.1016/j.conbuildmat.2020.120890","ISSN":"09500618","abstract":"This study evaluates the feasibility of partially replacing Portland cement in concrete with bottom ash (BA) from municipal solid waste incineration (MSWI). The challenge with this ash lies in its susceptibility to react expansively in alkaline conditions, leading to cracking when used in conventional high-slump concrete. This expansive behavior was confirmed to be the result of the dissolution of the ash's aluminum metal content and consequent formation of hydrogen gas. The aim of this study was to explore the suitability of BA as a cementitious additive in zero-slump dry-cast concrete instead. The premise was that dry-cast could better diffuse the generated gas and avoid internal pressure build-up. Results from isothermal calorimetry and thermal gravimetric analysis (TGA) clearly correlate enhancements in early-age cement hydration and pozzolanic reactivity. Scanning electron microscope (SEM) images revealed voids channels and larger aggregation formation in the BA applied concrete paste. Dry-cast concrete containing 20% BA replacement of cement exhibited higher strengths than ordinary Portland cement (OPC) reference samples at every test age up to 90 days, with the ultimate strength of BA concrete being 18% higher than that of OPC concrete. The addition of BA also improved resistance to freeze–thaw damage. The study found that MSWI-BA can impart enhancements to dry-cast concrete, qualifying it as a potentially suitable supplementary cementitious material. Use of this othe</w:instrText>
            </w:r>
            <w:r w:rsidR="005E7D08" w:rsidRPr="00704E49">
              <w:rPr>
                <w:rFonts w:ascii="Calibri" w:eastAsia="等线" w:hAnsi="Calibri" w:cs="Calibri"/>
                <w:sz w:val="14"/>
                <w:szCs w:val="14"/>
                <w:lang w:val="en-US"/>
              </w:rPr>
              <w:instrText>rwise landfilled ash as raw feedstock in concrete-making demonstrates a greener approach to building – scoring favorably in environmental performance for being relevant to resource conservation, landfill diversion, and waste-recycling.","author":[{"dropping-particle":"","family":"Zhang","given":"Shipeng","non-dropping-particle":"","parse-names":false,"suffix":""},{"dropping-particle":"","family":"Ghouleh","given":"Zaid","non-dropping-particle":"","parse-names":false,"suffix":""},{"dropping-particle":"","family":"He","given":"Zhen","non-dropping-particle":"","parse-names":false,"suffix":""},{"dropping-particle":"","family":"Hu","given":"Lingling","non-dropping-particle":"","parse-names":false,"suffix":""},{"dropping-particle":"","family":"Shao","given":"Yixin","non-dropping-particle":"","parse-names":false,"suffix":""}],"container-title":"Construction and Building Materials","id":"ITEM-1","issued":{"date-parts":[["2021"]]},"publisher":"Elsevier Ltd","title":"Use of municipal solid waste incineration bottom ash as a supplementary cementitious material in dry-cast concrete","type":"article-journal","volume":"266"},"uris":["http://www.mendeley.com/documents/?uuid=eb5df7ad-61ef-4b0a-b27b-f6e3c94ff7fc"]}],"mendeley":{"formattedCitation":"(Zhang et al., 2021)","plainTextFormattedCitation":"(Zhang et al., 2021)","previouslyFormattedCitation":"(Zhang et al., 2021)"},"properties":{"noteIndex":0},"schema":"https://github.com/citation-style-language/schema/raw/master/csl-citation.json"}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lang w:val="en-GB"/>
              </w:rPr>
              <w:t>(Zhang et al., 2021)</w:t>
            </w:r>
            <w:r w:rsidRPr="00704E49">
              <w:rPr>
                <w:rFonts w:ascii="Calibri" w:eastAsia="等线" w:hAnsi="Calibri" w:cs="Calibri"/>
                <w:sz w:val="14"/>
                <w:szCs w:val="14"/>
              </w:rPr>
              <w:fldChar w:fldCharType="end"/>
            </w:r>
          </w:p>
        </w:tc>
      </w:tr>
      <w:tr w:rsidR="00D76C75" w:rsidRPr="00704E49" w14:paraId="00B11B3D"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0FE9EE1D" w14:textId="77777777" w:rsidR="00D76C75" w:rsidRPr="00704E49" w:rsidRDefault="00D76C75" w:rsidP="00D76C75">
            <w:pPr>
              <w:widowControl/>
              <w:jc w:val="center"/>
              <w:rPr>
                <w:rFonts w:ascii="Calibri" w:eastAsia="等线" w:hAnsi="Calibri" w:cs="Calibri"/>
                <w:sz w:val="14"/>
                <w:szCs w:val="14"/>
                <w:lang w:val="en-GB"/>
              </w:rPr>
            </w:pPr>
            <w:r w:rsidRPr="00704E49">
              <w:rPr>
                <w:rFonts w:ascii="Calibri" w:eastAsia="等线" w:hAnsi="Calibri" w:cs="Calibri"/>
                <w:sz w:val="14"/>
                <w:szCs w:val="14"/>
                <w:lang w:val="en-GB"/>
              </w:rPr>
              <w:t>China (Mainland)</w:t>
            </w:r>
          </w:p>
        </w:tc>
        <w:tc>
          <w:tcPr>
            <w:tcW w:w="1414" w:type="dxa"/>
            <w:vAlign w:val="center"/>
          </w:tcPr>
          <w:p w14:paraId="1C60849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&lt; 45</w:t>
            </w:r>
          </w:p>
        </w:tc>
        <w:tc>
          <w:tcPr>
            <w:tcW w:w="1085" w:type="dxa"/>
            <w:vAlign w:val="center"/>
          </w:tcPr>
          <w:p w14:paraId="3DCA3A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lang w:val="en-GB"/>
              </w:rPr>
            </w:pPr>
            <w:r w:rsidRPr="00704E49">
              <w:rPr>
                <w:rFonts w:ascii="Calibri" w:eastAsia="等线" w:hAnsi="Calibri" w:cs="Calibri"/>
                <w:sz w:val="14"/>
                <w:szCs w:val="14"/>
                <w:lang w:val="en-GB"/>
              </w:rPr>
              <w:t>Ball milled</w:t>
            </w:r>
          </w:p>
        </w:tc>
        <w:tc>
          <w:tcPr>
            <w:tcW w:w="236" w:type="dxa"/>
            <w:tcBorders>
              <w:top w:val="nil"/>
              <w:bottom w:val="nil"/>
            </w:tcBorders>
            <w:vAlign w:val="center"/>
          </w:tcPr>
          <w:p w14:paraId="122DE88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063DC48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59.59</w:t>
            </w:r>
          </w:p>
        </w:tc>
        <w:tc>
          <w:tcPr>
            <w:tcW w:w="850" w:type="dxa"/>
            <w:gridSpan w:val="2"/>
            <w:tcBorders>
              <w:top w:val="single" w:sz="4" w:space="0" w:color="auto"/>
              <w:bottom w:val="single" w:sz="4" w:space="0" w:color="auto"/>
            </w:tcBorders>
            <w:vAlign w:val="center"/>
          </w:tcPr>
          <w:p w14:paraId="0AAA42B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7.58</w:t>
            </w:r>
          </w:p>
        </w:tc>
        <w:tc>
          <w:tcPr>
            <w:tcW w:w="567" w:type="dxa"/>
            <w:tcBorders>
              <w:top w:val="single" w:sz="4" w:space="0" w:color="auto"/>
              <w:left w:val="nil"/>
              <w:bottom w:val="single" w:sz="4" w:space="0" w:color="auto"/>
              <w:right w:val="nil"/>
            </w:tcBorders>
            <w:vAlign w:val="center"/>
          </w:tcPr>
          <w:p w14:paraId="40CD689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18.61</w:t>
            </w:r>
          </w:p>
        </w:tc>
        <w:tc>
          <w:tcPr>
            <w:tcW w:w="284" w:type="dxa"/>
            <w:tcBorders>
              <w:top w:val="nil"/>
              <w:bottom w:val="nil"/>
            </w:tcBorders>
            <w:vAlign w:val="center"/>
          </w:tcPr>
          <w:p w14:paraId="2332AFCB"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901" w:type="dxa"/>
            <w:tcBorders>
              <w:top w:val="single" w:sz="4" w:space="0" w:color="auto"/>
              <w:bottom w:val="single" w:sz="4" w:space="0" w:color="auto"/>
            </w:tcBorders>
            <w:vAlign w:val="center"/>
          </w:tcPr>
          <w:p w14:paraId="6A8EBC0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50</w:t>
            </w:r>
          </w:p>
        </w:tc>
        <w:tc>
          <w:tcPr>
            <w:tcW w:w="762" w:type="dxa"/>
            <w:vAlign w:val="center"/>
          </w:tcPr>
          <w:p w14:paraId="00D0957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(PII 52.5)</w:t>
            </w:r>
          </w:p>
        </w:tc>
        <w:tc>
          <w:tcPr>
            <w:tcW w:w="935" w:type="dxa"/>
            <w:vAlign w:val="center"/>
          </w:tcPr>
          <w:p w14:paraId="5D01C04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N</w:t>
            </w:r>
          </w:p>
        </w:tc>
        <w:tc>
          <w:tcPr>
            <w:tcW w:w="765" w:type="dxa"/>
            <w:vAlign w:val="center"/>
          </w:tcPr>
          <w:p w14:paraId="273B494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M</w:t>
            </w:r>
          </w:p>
        </w:tc>
        <w:tc>
          <w:tcPr>
            <w:tcW w:w="1045" w:type="dxa"/>
            <w:vAlign w:val="center"/>
          </w:tcPr>
          <w:p w14:paraId="2876FF0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20 ± 1 °C, &gt; 95 % RH</w:t>
            </w:r>
          </w:p>
        </w:tc>
        <w:tc>
          <w:tcPr>
            <w:tcW w:w="1103" w:type="dxa"/>
            <w:vAlign w:val="center"/>
          </w:tcPr>
          <w:p w14:paraId="7822D8B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40 × 40 × 160</w:t>
            </w:r>
          </w:p>
        </w:tc>
        <w:tc>
          <w:tcPr>
            <w:tcW w:w="1571" w:type="dxa"/>
            <w:vAlign w:val="center"/>
          </w:tcPr>
          <w:p w14:paraId="6BE15D5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10.1</w:t>
            </w:r>
            <w:r w:rsidRPr="00704E49">
              <w:rPr>
                <w:rFonts w:ascii="Calibri" w:eastAsia="等线" w:hAnsi="Calibri" w:cs="Calibri"/>
                <w:sz w:val="14"/>
                <w:szCs w:val="14"/>
                <w:vertAlign w:val="superscript"/>
                <w:lang w:val="en-GB"/>
              </w:rPr>
              <w:t>3d</w:t>
            </w:r>
            <w:r w:rsidRPr="00704E49">
              <w:rPr>
                <w:rFonts w:ascii="Calibri" w:eastAsia="等线" w:hAnsi="Calibri" w:cs="Calibri"/>
                <w:sz w:val="14"/>
                <w:szCs w:val="14"/>
                <w:lang w:val="en-GB"/>
              </w:rPr>
              <w:t>, 29.2</w:t>
            </w:r>
            <w:r w:rsidRPr="00704E49">
              <w:rPr>
                <w:rFonts w:ascii="Calibri" w:eastAsia="等线" w:hAnsi="Calibri" w:cs="Calibri"/>
                <w:sz w:val="14"/>
                <w:szCs w:val="14"/>
                <w:vertAlign w:val="superscript"/>
                <w:lang w:val="en-GB"/>
              </w:rPr>
              <w:t>28d</w:t>
            </w:r>
          </w:p>
          <w:p w14:paraId="3FC5CF1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(decreased 54.7 % and 44.5 % compared with OPC mortar)</w:t>
            </w:r>
          </w:p>
        </w:tc>
        <w:tc>
          <w:tcPr>
            <w:tcW w:w="944" w:type="dxa"/>
            <w:vAlign w:val="center"/>
          </w:tcPr>
          <w:p w14:paraId="22A72131" w14:textId="4C81AC72"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lang w:val="en-GB"/>
              </w:rPr>
              <w:instrText>ADDIN CSL_CITATION {"citationItems":[{"id":"ITEM-1","itemData":{"DOI":"10.1016/j.jclepro.2012.03.038","ISSN":"09596526","abstract":"The objective of this study was to assess the feasibility of application of municipal solid waste incineration (MSWI) bottom ash as a supplementary cementitious material for the preparation of blended cement. The water demand for normal consistency, setting time, strength and hydration characteristics of MSWI bottom ash-cement compound matrices were investigated. The results show that the MSWI bottom ash has some cementitious activity, but the reactivity is relatively lower than Portland cement and its addition to cement may lead to retardation of cement hydration. The incorporation content of MSWI bottom ash in blended cements was controlled below 30%, which resulted in blended cement of strength class 32.5 according to GB 175-2007 (Chinese National Standard). It is also evident that heavy metal concentrations in leachates of the blended cements with MSWI bottom ash are far lower than recommended in the GB5085.3-2007. © 2012 Elsevier Ltd. All rights reserved.","author":[{"dropping-particle":"","family":"Li","given":"Xiang Guo","non-dropping-particle":"","parse-names":false,"suffix":""},{"dropping-particle":"","family":"Lv","given":"Yang","non-dropping-particle":"","parse-names":false,"suffix":""},{"dropping-particle":"","family":"Ma","given":"Bao Guo","non-dropping-particle":"","parse-names":false,"suffix":""},{"dropping-particle":"Bin","family":"Chen","given":"Quan","non-dropping-particle":"","parse-names":false,"suffix":""},{"dropping-particle":"","family":"Yin","given":"Xiao Bo","non-dropping-particle":"","parse-names":false,"suffix":""},{"dropping-particle":"","family":"Jian","given":"Shou Wei","non-dropping-particle":"","parse-names":false,"suffix":""}],"container-title":"Journal of Cleaner Production","id":"ITEM-1","issued":{"date-parts":[["2012"]]},"page":"96-100","title":"Utilization of municipal solid waste incineration bottom ash in blended cement","type":"article-journal","volume":"32"},"uris":["http://www.mendeley.com/documents/?uuid=bc53b3b5-b6a1-44fd-8495-41cde7cdd352"]}],"mendeley":{"formattedCitation":"(Li et al., 2012)","plainTextFormattedCitation":"(Li et al., 2012)","previouslyFormattedCitation":"(Li et al., 2012)"},"properties":{"noteIndex":0},"schema":"https://github.com/citation-style-language/schema/raw/master/csl-citation.json"}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(Li et al., 2012)</w:t>
            </w:r>
            <w:r w:rsidRPr="00704E49">
              <w:rPr>
                <w:rFonts w:ascii="Calibri" w:eastAsia="等线" w:hAnsi="Calibri" w:cs="Calibri"/>
                <w:sz w:val="14"/>
                <w:szCs w:val="14"/>
              </w:rPr>
              <w:fldChar w:fldCharType="end"/>
            </w:r>
          </w:p>
        </w:tc>
      </w:tr>
      <w:tr w:rsidR="00D76C75" w:rsidRPr="00704E49" w14:paraId="6ED98E8D"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256E9CBF"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China (Mainland)</w:t>
            </w:r>
          </w:p>
        </w:tc>
        <w:tc>
          <w:tcPr>
            <w:tcW w:w="1414" w:type="dxa"/>
            <w:vAlign w:val="center"/>
          </w:tcPr>
          <w:p w14:paraId="1F801DF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150</w:t>
            </w:r>
          </w:p>
          <w:p w14:paraId="110A2BC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Average</w:t>
            </w:r>
            <w:proofErr w:type="spellEnd"/>
            <w:r w:rsidRPr="00704E49">
              <w:rPr>
                <w:rFonts w:ascii="Calibri" w:eastAsia="等线" w:hAnsi="Calibri" w:cs="Calibri"/>
                <w:sz w:val="14"/>
                <w:szCs w:val="14"/>
              </w:rPr>
              <w:t>: 30</w:t>
            </w:r>
          </w:p>
        </w:tc>
        <w:tc>
          <w:tcPr>
            <w:tcW w:w="1085" w:type="dxa"/>
            <w:vAlign w:val="center"/>
          </w:tcPr>
          <w:p w14:paraId="4E3EB62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Ball milled, Alkali treated + water washed</w:t>
            </w:r>
          </w:p>
          <w:p w14:paraId="56DF604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rPr>
            </w:pPr>
            <w:r w:rsidRPr="00704E49">
              <w:rPr>
                <w:rFonts w:ascii="Calibri" w:eastAsia="等线" w:hAnsi="Calibri" w:cs="Calibri"/>
                <w:sz w:val="14"/>
                <w:szCs w:val="14"/>
              </w:rPr>
              <w:t>Metallic Al: 0</w:t>
            </w:r>
          </w:p>
        </w:tc>
        <w:tc>
          <w:tcPr>
            <w:tcW w:w="236" w:type="dxa"/>
            <w:tcBorders>
              <w:top w:val="nil"/>
              <w:bottom w:val="nil"/>
            </w:tcBorders>
            <w:vAlign w:val="center"/>
          </w:tcPr>
          <w:p w14:paraId="527D856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34743CD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25.89</w:t>
            </w:r>
          </w:p>
        </w:tc>
        <w:tc>
          <w:tcPr>
            <w:tcW w:w="850" w:type="dxa"/>
            <w:gridSpan w:val="2"/>
            <w:tcBorders>
              <w:top w:val="single" w:sz="4" w:space="0" w:color="auto"/>
              <w:bottom w:val="single" w:sz="4" w:space="0" w:color="auto"/>
            </w:tcBorders>
            <w:vAlign w:val="center"/>
          </w:tcPr>
          <w:p w14:paraId="6A4F4F0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32.47</w:t>
            </w:r>
          </w:p>
        </w:tc>
        <w:tc>
          <w:tcPr>
            <w:tcW w:w="567" w:type="dxa"/>
            <w:tcBorders>
              <w:top w:val="single" w:sz="4" w:space="0" w:color="auto"/>
              <w:left w:val="nil"/>
              <w:bottom w:val="single" w:sz="4" w:space="0" w:color="auto"/>
              <w:right w:val="nil"/>
            </w:tcBorders>
            <w:vAlign w:val="center"/>
          </w:tcPr>
          <w:p w14:paraId="7F96FB6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6.47</w:t>
            </w:r>
          </w:p>
        </w:tc>
        <w:tc>
          <w:tcPr>
            <w:tcW w:w="284" w:type="dxa"/>
            <w:tcBorders>
              <w:top w:val="nil"/>
              <w:bottom w:val="nil"/>
            </w:tcBorders>
            <w:vAlign w:val="center"/>
          </w:tcPr>
          <w:p w14:paraId="5E38A6E4"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3E67637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w:t>
            </w:r>
          </w:p>
        </w:tc>
        <w:tc>
          <w:tcPr>
            <w:tcW w:w="762" w:type="dxa"/>
            <w:vAlign w:val="center"/>
          </w:tcPr>
          <w:p w14:paraId="1F5F1E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w:t>
            </w:r>
          </w:p>
        </w:tc>
        <w:tc>
          <w:tcPr>
            <w:tcW w:w="935" w:type="dxa"/>
            <w:vAlign w:val="center"/>
          </w:tcPr>
          <w:p w14:paraId="1F2E5BA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0.484</w:t>
            </w:r>
          </w:p>
          <w:p w14:paraId="507E9E5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248E0BF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1:2.75 (M)</w:t>
            </w:r>
          </w:p>
        </w:tc>
        <w:tc>
          <w:tcPr>
            <w:tcW w:w="1045" w:type="dxa"/>
            <w:vAlign w:val="center"/>
          </w:tcPr>
          <w:p w14:paraId="786D9C5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Lime water </w:t>
            </w:r>
            <w:proofErr w:type="spellStart"/>
            <w:r w:rsidRPr="00704E49">
              <w:rPr>
                <w:rFonts w:ascii="Calibri" w:eastAsia="等线" w:hAnsi="Calibri" w:cs="Calibri"/>
                <w:sz w:val="14"/>
                <w:szCs w:val="14"/>
              </w:rPr>
              <w:t>immersion</w:t>
            </w:r>
            <w:proofErr w:type="spellEnd"/>
          </w:p>
        </w:tc>
        <w:tc>
          <w:tcPr>
            <w:tcW w:w="1103" w:type="dxa"/>
            <w:vAlign w:val="center"/>
          </w:tcPr>
          <w:p w14:paraId="20142D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 × 50 × 50 </w:t>
            </w:r>
          </w:p>
        </w:tc>
        <w:tc>
          <w:tcPr>
            <w:tcW w:w="1571" w:type="dxa"/>
            <w:vAlign w:val="center"/>
          </w:tcPr>
          <w:p w14:paraId="4124094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90d: close to reference mortar</w:t>
            </w:r>
          </w:p>
        </w:tc>
        <w:tc>
          <w:tcPr>
            <w:tcW w:w="944" w:type="dxa"/>
            <w:vAlign w:val="center"/>
          </w:tcPr>
          <w:p w14:paraId="1E84FC8E" w14:textId="0A8A13FD"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{"citationItems":[{"id":"ITEM-1","itemData":{"DOI":"10.1016/j.conbuildmat.2018.05.231","ISSN":"09500618","abstract":"Municipal solid waste incineration bottom ash (IBA) contains metallic aluminum which generates gas when in contact with cement paste. To increase the utilization potential of IBA, alkali treatment for removal of metallic aluminum is proposed. This paper investigated the effects of alkalinity, reaction temperature, and alkali type on the properties of alkali-treated IBA and the resulting IBA blended cement mortars. Results showed that alkali treatment effectively removes the metallic aluminum in IBA and minimizes aeration in IBA blended cement mortars. Furthermore, alkali treatment enhances pozzolanic properties of IBA and the resulting alkali-treated IBA possessed pozzolanic reactivity similar to coal fly ash. The strength activity indices (SAI) of the resulting alkali-treated IBA blended cement mortars were above 75% of the control at the age of 28 days and beyond. In particular, the mix incorporating IBA treated with NaOH (pH = 14) at 25 °C has a strength comparable to that of control at the age of 90 days. The proposed method provides an effective, efficient, and fast means for the removal of metallic aluminum in IBA and the alkali-treated IBA can potentially be used as supplementary cementitious materials for concrete production.","author":[{"dropping-particle":"","family":"Liu","given":"Yiquan","non-dropping-particle":"","parse-names":false,"suffix":""},{"dropping-particle":"","family":"Sidhu","given":"Kevindev Singh","non-dropping-particle":"","parse-names":false,"suffix":""},{"dropping-particle":"","family":"Chen","given":"Zhitao","non-dropping-particle":"","parse-names":false,"suffix":""},{"dropping-particle":"","family":"Yang","given":"En Hua","non-dropping-particle":"","parse-names":false,"suffix":""}],"container-title":"Construction and Building Materials","id":"ITEM-1","issued":{"date-parts":[["2018"]]},"page":"371-378","publisher":"Elsevier Ltd","title":"Alkali-treated incineration bottom ash as supplementary cementitious materials","type":"article-journal","volume":"179"},"uris":["http://www.mendeley.com/documents/?uuid=bd9141fa-3038-4116-b00d-bf67db6fad28"]}],"mendeley":{"formattedCitation":"(Liu et al., 2018)","plainTextFormattedCitation":"(Liu et al., 2018)","previouslyFormattedCitation":"(Liu et al., 2018)"},"properties":{"noteIndex":0},"schema":"https://github.com/citation-style-language/schema/raw/master/csl-citation.json"}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(Liu et al., 2018)</w:t>
            </w:r>
            <w:r w:rsidRPr="00704E49">
              <w:rPr>
                <w:rFonts w:ascii="Calibri" w:eastAsia="等线" w:hAnsi="Calibri" w:cs="Calibri"/>
                <w:sz w:val="14"/>
                <w:szCs w:val="14"/>
              </w:rPr>
              <w:fldChar w:fldCharType="end"/>
            </w:r>
          </w:p>
        </w:tc>
      </w:tr>
      <w:tr w:rsidR="00D76C75" w:rsidRPr="00704E49" w14:paraId="7C9FDC0E"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2B3EB58E"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China (Mainland)</w:t>
            </w:r>
          </w:p>
        </w:tc>
        <w:tc>
          <w:tcPr>
            <w:tcW w:w="1414" w:type="dxa"/>
            <w:vAlign w:val="center"/>
          </w:tcPr>
          <w:p w14:paraId="1FC7C5A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154</w:t>
            </w:r>
          </w:p>
          <w:p w14:paraId="4DF672E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Average</w:t>
            </w:r>
            <w:proofErr w:type="spell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around</w:t>
            </w:r>
            <w:proofErr w:type="spellEnd"/>
            <w:r w:rsidRPr="00704E49">
              <w:rPr>
                <w:rFonts w:ascii="Calibri" w:eastAsia="等线" w:hAnsi="Calibri" w:cs="Calibri"/>
                <w:sz w:val="14"/>
                <w:szCs w:val="14"/>
              </w:rPr>
              <w:t xml:space="preserve"> 10</w:t>
            </w:r>
          </w:p>
        </w:tc>
        <w:tc>
          <w:tcPr>
            <w:tcW w:w="1085" w:type="dxa"/>
            <w:vAlign w:val="center"/>
          </w:tcPr>
          <w:p w14:paraId="02A3F77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rPr>
            </w:pPr>
            <w:proofErr w:type="spellStart"/>
            <w:r w:rsidRPr="00704E49">
              <w:rPr>
                <w:rFonts w:ascii="Calibri" w:eastAsia="等线" w:hAnsi="Calibri" w:cs="Calibri"/>
                <w:sz w:val="14"/>
                <w:szCs w:val="14"/>
              </w:rPr>
              <w:t>Milled</w:t>
            </w:r>
            <w:proofErr w:type="spellEnd"/>
          </w:p>
        </w:tc>
        <w:tc>
          <w:tcPr>
            <w:tcW w:w="236" w:type="dxa"/>
            <w:tcBorders>
              <w:top w:val="nil"/>
              <w:bottom w:val="nil"/>
            </w:tcBorders>
            <w:vAlign w:val="center"/>
          </w:tcPr>
          <w:p w14:paraId="675881D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497AF6F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53.8</w:t>
            </w:r>
          </w:p>
        </w:tc>
        <w:tc>
          <w:tcPr>
            <w:tcW w:w="850" w:type="dxa"/>
            <w:gridSpan w:val="2"/>
            <w:tcBorders>
              <w:top w:val="single" w:sz="4" w:space="0" w:color="auto"/>
              <w:bottom w:val="single" w:sz="4" w:space="0" w:color="auto"/>
            </w:tcBorders>
            <w:vAlign w:val="center"/>
          </w:tcPr>
          <w:p w14:paraId="0D625AD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14.30</w:t>
            </w:r>
          </w:p>
        </w:tc>
        <w:tc>
          <w:tcPr>
            <w:tcW w:w="567" w:type="dxa"/>
            <w:tcBorders>
              <w:top w:val="single" w:sz="4" w:space="0" w:color="auto"/>
              <w:left w:val="nil"/>
              <w:bottom w:val="single" w:sz="4" w:space="0" w:color="auto"/>
              <w:right w:val="nil"/>
            </w:tcBorders>
            <w:vAlign w:val="center"/>
          </w:tcPr>
          <w:p w14:paraId="1143F1E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8.7</w:t>
            </w:r>
          </w:p>
        </w:tc>
        <w:tc>
          <w:tcPr>
            <w:tcW w:w="284" w:type="dxa"/>
            <w:tcBorders>
              <w:top w:val="nil"/>
              <w:bottom w:val="nil"/>
            </w:tcBorders>
            <w:vAlign w:val="center"/>
          </w:tcPr>
          <w:p w14:paraId="76A2FD4E"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65DC9ED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w:t>
            </w:r>
          </w:p>
        </w:tc>
        <w:tc>
          <w:tcPr>
            <w:tcW w:w="762" w:type="dxa"/>
            <w:vAlign w:val="center"/>
          </w:tcPr>
          <w:p w14:paraId="5BC72BC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w:t>
            </w:r>
          </w:p>
          <w:p w14:paraId="02E71A3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Class 42.5</w:t>
            </w:r>
          </w:p>
        </w:tc>
        <w:tc>
          <w:tcPr>
            <w:tcW w:w="935" w:type="dxa"/>
            <w:vAlign w:val="center"/>
          </w:tcPr>
          <w:p w14:paraId="76E51D7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765" w:type="dxa"/>
            <w:vAlign w:val="center"/>
          </w:tcPr>
          <w:p w14:paraId="4EA889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32C1C5F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2 °C, &gt; 90 ± 5 % RH</w:t>
            </w:r>
          </w:p>
        </w:tc>
        <w:tc>
          <w:tcPr>
            <w:tcW w:w="1103" w:type="dxa"/>
            <w:vAlign w:val="center"/>
          </w:tcPr>
          <w:p w14:paraId="4ED34FA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 </w:t>
            </w:r>
          </w:p>
        </w:tc>
        <w:tc>
          <w:tcPr>
            <w:tcW w:w="1571" w:type="dxa"/>
            <w:vAlign w:val="center"/>
          </w:tcPr>
          <w:p w14:paraId="1BA437E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dramatic decrease compared with reference paste</w:t>
            </w:r>
          </w:p>
        </w:tc>
        <w:tc>
          <w:tcPr>
            <w:tcW w:w="944" w:type="dxa"/>
            <w:vAlign w:val="center"/>
          </w:tcPr>
          <w:p w14:paraId="06015829" w14:textId="56F6384F"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{"citationItems":[{"id":"ITEM-1","itemData":{"DOI":"10.1016/j.conbuildmat.2017.12.081","ISSN":"09500618","abstract":"In this study, the feasibility of application of municipal solid waste incineration (MSWI) fly ash and bottom ash as a supplementary cementitious material for the preparation of blended cement was evaluated. For this purpose, the cement composites with 10–50 wt% of cement replaced by the equivalent amount of washed MSWI fly ash and bottom ash were prepared, together with water needed for normal consistency, setting time for the blend, strength and hydration characteristics of MSWI ash-cement composites were investigated. The results show that the washed MSWI fly ash and bottom ash have some cementitious activity, but the activity is relatively lower than Portland cement. The behavior of the addition of composites of washed MSWI fly ash and bottom ash were observed to be different with respect to water demand and setting time. Addition of washed fly ash and bottom ash were found to have a deleterious effect on the mechanical strength of cement composites and the maximum replacement by washed MSWI fly ash and bottom ash should be limited to the range of 40 wt% and 20 wt%, respectively to ensure the mechanical properties of composites. Besides, the hydration characteristic of cement blended with washed MSWI fly ash and bottom ash was also measured by using X-ray powder diffraction (XRD) and scanning electron microscope (SEM). Finally, the environmental and economic imp</w:instrText>
            </w:r>
            <w:r w:rsidR="005E7D08" w:rsidRPr="00704E49">
              <w:rPr>
                <w:rFonts w:ascii="Calibri" w:eastAsia="等线" w:hAnsi="Calibri" w:cs="Calibri"/>
                <w:sz w:val="14"/>
                <w:szCs w:val="14"/>
                <w:lang w:val="en-US"/>
              </w:rPr>
              <w:instrText>act of the as-derived cementitious materials was also evaluated. It was found that the recycling of MSWI fly ash and bottom ash for the cement production can achieve a significant economic and environmental benefit at the same time.","author":[{"dropping-particle":"","family":"Yang","given":"Zhenzhou","non-dropping-particle":"","parse-names":false,"suffix":""},{"dropping-particle":"","family":"Ji","given":"Ru","non-dropping-particle":"","parse-names":false,"suffix":""},{"dropping-particle":"","family":"Liu","given":"Lili","non-dropping-particle":"","parse-names":false,"suffix":""},{"dropping-particle":"","family":"Wang","given":"Xidong","non-dropping-particle":"","parse-names":false,"suffix":""},{"dropping-particle":"","family":"Zhang","given":"Zuotai","non-dropping-particle":"","parse-names":false,"suffix":""}],"container-title":"Construction and Building Materials","id":"ITEM-1","issued":{"date-parts":[["2018"]]},"page":"794-801","publisher":"Elsevier Ltd","title":"Recycling of municipal solid waste incineration by-product for cement composites preparation","type":"article-journal","volume":"162"},"uris":["http://www.mendeley.com/documents/?uuid=31f494e7-a387-42eb-aef2-d68d762699f3"]}],"mendeley":{"formattedCitation":"(Yang, Ji, et al., 2018)","plainTextFormattedCitation":"(Yang, Ji, et al., 2018)","previouslyFormattedCitation":"(Yang, Ji, et al., 2018)"},"properties":{"noteIndex":0},"schema":"https://github.com/citation-style-language/schema/raw/master/csl-citation.json"}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lang w:val="en-US"/>
              </w:rPr>
              <w:t>(Yang, Ji, et al., 2018)</w:t>
            </w:r>
            <w:r w:rsidRPr="00704E49">
              <w:rPr>
                <w:rFonts w:ascii="Calibri" w:eastAsia="等线" w:hAnsi="Calibri" w:cs="Calibri"/>
                <w:sz w:val="14"/>
                <w:szCs w:val="14"/>
              </w:rPr>
              <w:fldChar w:fldCharType="end"/>
            </w:r>
          </w:p>
        </w:tc>
      </w:tr>
      <w:tr w:rsidR="00D76C75" w:rsidRPr="00704E49" w14:paraId="2C9EB2F9" w14:textId="77777777" w:rsidTr="00AC0648">
        <w:trPr>
          <w:trHeight w:val="1027"/>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1BCA0A03" w14:textId="77777777" w:rsidR="00D76C75" w:rsidRPr="00704E49" w:rsidRDefault="00D76C75" w:rsidP="00D76C75">
            <w:pPr>
              <w:widowControl/>
              <w:jc w:val="center"/>
              <w:rPr>
                <w:rFonts w:ascii="Calibri" w:eastAsia="等线" w:hAnsi="Calibri" w:cs="Calibri"/>
                <w:sz w:val="14"/>
                <w:szCs w:val="14"/>
                <w:lang w:val="en-US"/>
              </w:rPr>
            </w:pPr>
            <w:r w:rsidRPr="00704E49">
              <w:rPr>
                <w:rFonts w:ascii="Calibri" w:eastAsia="等线" w:hAnsi="Calibri" w:cs="Calibri"/>
                <w:sz w:val="14"/>
                <w:szCs w:val="14"/>
                <w:lang w:val="en-US"/>
              </w:rPr>
              <w:t>China (Mainland)</w:t>
            </w:r>
          </w:p>
        </w:tc>
        <w:tc>
          <w:tcPr>
            <w:tcW w:w="1414" w:type="dxa"/>
            <w:vAlign w:val="center"/>
          </w:tcPr>
          <w:p w14:paraId="30EED18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&lt; 180</w:t>
            </w:r>
          </w:p>
        </w:tc>
        <w:tc>
          <w:tcPr>
            <w:tcW w:w="1085" w:type="dxa"/>
            <w:vAlign w:val="center"/>
          </w:tcPr>
          <w:p w14:paraId="54EA24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lang w:val="en-US"/>
              </w:rPr>
            </w:pPr>
            <w:r w:rsidRPr="00704E49">
              <w:rPr>
                <w:rFonts w:ascii="Calibri" w:eastAsia="等线" w:hAnsi="Calibri" w:cs="Calibri"/>
                <w:sz w:val="14"/>
                <w:szCs w:val="14"/>
                <w:lang w:val="en-US"/>
              </w:rPr>
              <w:t>Ball milled</w:t>
            </w:r>
          </w:p>
        </w:tc>
        <w:tc>
          <w:tcPr>
            <w:tcW w:w="236" w:type="dxa"/>
            <w:tcBorders>
              <w:top w:val="nil"/>
              <w:bottom w:val="nil"/>
            </w:tcBorders>
            <w:vAlign w:val="center"/>
          </w:tcPr>
          <w:p w14:paraId="3593B69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p>
        </w:tc>
        <w:tc>
          <w:tcPr>
            <w:tcW w:w="739" w:type="dxa"/>
            <w:gridSpan w:val="2"/>
            <w:tcBorders>
              <w:top w:val="single" w:sz="4" w:space="0" w:color="auto"/>
              <w:bottom w:val="single" w:sz="4" w:space="0" w:color="auto"/>
            </w:tcBorders>
            <w:vAlign w:val="center"/>
          </w:tcPr>
          <w:p w14:paraId="7ED106C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48.41</w:t>
            </w:r>
          </w:p>
        </w:tc>
        <w:tc>
          <w:tcPr>
            <w:tcW w:w="850" w:type="dxa"/>
            <w:gridSpan w:val="2"/>
            <w:tcBorders>
              <w:top w:val="single" w:sz="4" w:space="0" w:color="auto"/>
              <w:bottom w:val="single" w:sz="4" w:space="0" w:color="auto"/>
            </w:tcBorders>
            <w:vAlign w:val="center"/>
          </w:tcPr>
          <w:p w14:paraId="33FD585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14.78</w:t>
            </w:r>
          </w:p>
        </w:tc>
        <w:tc>
          <w:tcPr>
            <w:tcW w:w="567" w:type="dxa"/>
            <w:tcBorders>
              <w:top w:val="single" w:sz="4" w:space="0" w:color="auto"/>
              <w:left w:val="nil"/>
              <w:bottom w:val="single" w:sz="4" w:space="0" w:color="auto"/>
              <w:right w:val="nil"/>
            </w:tcBorders>
            <w:vAlign w:val="center"/>
          </w:tcPr>
          <w:p w14:paraId="19337C1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11.99</w:t>
            </w:r>
          </w:p>
        </w:tc>
        <w:tc>
          <w:tcPr>
            <w:tcW w:w="284" w:type="dxa"/>
            <w:tcBorders>
              <w:top w:val="nil"/>
              <w:bottom w:val="nil"/>
            </w:tcBorders>
            <w:vAlign w:val="center"/>
          </w:tcPr>
          <w:p w14:paraId="672C60CF"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p>
        </w:tc>
        <w:tc>
          <w:tcPr>
            <w:tcW w:w="901" w:type="dxa"/>
            <w:tcBorders>
              <w:top w:val="single" w:sz="4" w:space="0" w:color="auto"/>
              <w:bottom w:val="single" w:sz="4" w:space="0" w:color="auto"/>
            </w:tcBorders>
            <w:vAlign w:val="center"/>
          </w:tcPr>
          <w:p w14:paraId="2C8AD8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30</w:t>
            </w:r>
          </w:p>
        </w:tc>
        <w:tc>
          <w:tcPr>
            <w:tcW w:w="762" w:type="dxa"/>
            <w:vAlign w:val="center"/>
          </w:tcPr>
          <w:p w14:paraId="65B2478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Portland cement Class 42.5</w:t>
            </w:r>
          </w:p>
        </w:tc>
        <w:tc>
          <w:tcPr>
            <w:tcW w:w="935" w:type="dxa"/>
            <w:vAlign w:val="center"/>
          </w:tcPr>
          <w:p w14:paraId="03700BE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0.5</w:t>
            </w:r>
          </w:p>
        </w:tc>
        <w:tc>
          <w:tcPr>
            <w:tcW w:w="765" w:type="dxa"/>
            <w:vAlign w:val="center"/>
          </w:tcPr>
          <w:p w14:paraId="7C852CF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1:3 (M)</w:t>
            </w:r>
          </w:p>
          <w:p w14:paraId="1C1A618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0.5:1.86:3.78 (C)</w:t>
            </w:r>
          </w:p>
        </w:tc>
        <w:tc>
          <w:tcPr>
            <w:tcW w:w="1045" w:type="dxa"/>
            <w:vAlign w:val="center"/>
          </w:tcPr>
          <w:p w14:paraId="3B1C96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20 ± 2 °C, &gt; 95 % RH</w:t>
            </w:r>
          </w:p>
        </w:tc>
        <w:tc>
          <w:tcPr>
            <w:tcW w:w="1103" w:type="dxa"/>
            <w:vAlign w:val="center"/>
          </w:tcPr>
          <w:p w14:paraId="52D8658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US"/>
              </w:rPr>
            </w:pPr>
            <w:r w:rsidRPr="00704E49">
              <w:rPr>
                <w:rFonts w:ascii="Calibri" w:eastAsia="等线" w:hAnsi="Calibri" w:cs="Calibri"/>
                <w:sz w:val="14"/>
                <w:szCs w:val="14"/>
                <w:lang w:val="en-US"/>
              </w:rPr>
              <w:t>40 × 40 × 160</w:t>
            </w:r>
          </w:p>
        </w:tc>
        <w:tc>
          <w:tcPr>
            <w:tcW w:w="1571" w:type="dxa"/>
            <w:vAlign w:val="center"/>
          </w:tcPr>
          <w:p w14:paraId="52BC108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24.4</w:t>
            </w:r>
            <w:r w:rsidRPr="00704E49">
              <w:rPr>
                <w:rFonts w:ascii="Calibri" w:eastAsia="等线" w:hAnsi="Calibri" w:cs="Calibri"/>
                <w:sz w:val="14"/>
                <w:szCs w:val="14"/>
                <w:vertAlign w:val="superscript"/>
                <w:lang w:val="en-GB"/>
              </w:rPr>
              <w:t>28d</w:t>
            </w:r>
          </w:p>
          <w:p w14:paraId="13D23FF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(decreased compared with reference mortar)</w:t>
            </w:r>
          </w:p>
        </w:tc>
        <w:tc>
          <w:tcPr>
            <w:tcW w:w="944" w:type="dxa"/>
            <w:vAlign w:val="center"/>
          </w:tcPr>
          <w:p w14:paraId="03ECC06C" w14:textId="59E60E20"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lang w:val="en-US"/>
              </w:rPr>
              <w:instrText>ADDIN CSL_CITATION {"citationItems":[{"id":"ITEM-1","itemData":{"DOI":"10.3390/app9235091","ISSN":"20763417","abstract":"This research provides a strategy for partially replacing cement with municipal solid waste incineration (MSWI) bottom ash (BA) to improve the performance of concrete against sulphate attack. Mortar strength tests were performed firstly to evaluate the hydration activity of the ground BA. Concrete specimens were cured in standard conditions and immersed in a solution that contained 10% sodium sulfate. Then, the compressive strength of these specimens was measured to investigate the mechanical properties and durability of the concrete. Next, the capillary porosity of the concrete was determined from the volume fractions of water lost in specimens. Finally, the transport of the sulphate solution in concrete was analyzed using capillary rise, crystallization rate, and solution absorption tests. The results indicated that BA had a certain hydration activity. The equivalent replacement of cement by BA decreased the compressive strength of the specimens but increased the durability of the concrete. There was an excellent correlation between capillary rise height, sulfate solution absorption amount, crystallization rate, and coarse capillary porosity. The addition of BA can decrease the coarse capillary porosity and further slow the capillary transport and crystallization of sulfate solution in concrete. Overall, the replacement of cement with BA can improve the durability of concrete and actualize the utilization of MSWI residues as a resource.","author":[{"dropping-particle":"","family":"Cheng","given":"Yongzhen","non-dropping-particle":"","parse-names":false,"suffix":""},{"dropping-particle":"","family":"Dong","given":"Yun","non-dropping-particle":"","parse-names":false,"suffix":""},{"dropping-particle":"","family":"Diao","given":"Jiakang","non-dropping-particle":"","parse-names":false,"suffix":""},{"dropping-particle":"","family":"Zhang","given":"Guoying","non-dropping-particle":"","parse-names":false,"suffix":""},{"dropping-particle":"","family":"Chen","given":"Chao","non-dropping-particle":"","parse-names":false,"suffix":""},{"dropping-particle":"","family":"Wu","given":"Danxi","non-dropping-particle":"","parse-names":false,"suffix":""}],"container-title":"Applied Sciences (Switzerland)","id":"ITEM-1","issue":"23","issued":{"date-parts":[["2019"]]},"publisher":"MDPI AG","title":"MSWI bottom ash application to resist sulfate attack on concrete","type":"article-journal","volume":"9"},"uris":["http://www.mendeley.com/documents/?uuid=2ef822d2-d567-4688-8382-ab384ea4c21f"]}],"mendeley":{"formattedCitation":"(Cheng et al., 2019)","plainTextFormattedCitation":"(Cheng et al., 2019)","previouslyFormattedCitation":"(Cheng et al., 2019)"},"properties":{"noteIndex":0},"schema":"https://github.com/citation-style-language/schema/raw/master/csl-citation.json"}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(Cheng et al., 2019)</w:t>
            </w:r>
            <w:r w:rsidRPr="00704E49">
              <w:rPr>
                <w:rFonts w:ascii="Calibri" w:eastAsia="等线" w:hAnsi="Calibri" w:cs="Calibri"/>
                <w:sz w:val="14"/>
                <w:szCs w:val="14"/>
              </w:rPr>
              <w:fldChar w:fldCharType="end"/>
            </w:r>
          </w:p>
        </w:tc>
      </w:tr>
      <w:tr w:rsidR="00D76C75" w:rsidRPr="00704E49" w14:paraId="3006B660"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5F44B5B9"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China (Mainland)</w:t>
            </w:r>
          </w:p>
        </w:tc>
        <w:tc>
          <w:tcPr>
            <w:tcW w:w="1414" w:type="dxa"/>
            <w:vAlign w:val="center"/>
          </w:tcPr>
          <w:p w14:paraId="69FC6E0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10-40</w:t>
            </w:r>
          </w:p>
          <w:p w14:paraId="1416952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5 - 10 mm)</w:t>
            </w:r>
          </w:p>
        </w:tc>
        <w:tc>
          <w:tcPr>
            <w:tcW w:w="1085" w:type="dxa"/>
            <w:vAlign w:val="center"/>
          </w:tcPr>
          <w:p w14:paraId="4164EE5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rPr>
            </w:pPr>
            <w:r w:rsidRPr="00704E49">
              <w:rPr>
                <w:rFonts w:ascii="Calibri" w:eastAsia="等线" w:hAnsi="Calibri" w:cs="Calibri"/>
                <w:sz w:val="14"/>
                <w:szCs w:val="14"/>
              </w:rPr>
              <w:t xml:space="preserve">Ball </w:t>
            </w:r>
            <w:proofErr w:type="spellStart"/>
            <w:r w:rsidRPr="00704E49">
              <w:rPr>
                <w:rFonts w:ascii="Calibri" w:eastAsia="等线" w:hAnsi="Calibri" w:cs="Calibri"/>
                <w:sz w:val="14"/>
                <w:szCs w:val="14"/>
              </w:rPr>
              <w:t>milled</w:t>
            </w:r>
            <w:proofErr w:type="spellEnd"/>
          </w:p>
        </w:tc>
        <w:tc>
          <w:tcPr>
            <w:tcW w:w="236" w:type="dxa"/>
            <w:tcBorders>
              <w:top w:val="nil"/>
              <w:bottom w:val="nil"/>
            </w:tcBorders>
            <w:vAlign w:val="center"/>
          </w:tcPr>
          <w:p w14:paraId="5818F63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50A9AD8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51.18</w:t>
            </w:r>
          </w:p>
        </w:tc>
        <w:tc>
          <w:tcPr>
            <w:tcW w:w="850" w:type="dxa"/>
            <w:gridSpan w:val="2"/>
            <w:tcBorders>
              <w:top w:val="single" w:sz="4" w:space="0" w:color="auto"/>
              <w:bottom w:val="single" w:sz="4" w:space="0" w:color="auto"/>
            </w:tcBorders>
            <w:vAlign w:val="center"/>
          </w:tcPr>
          <w:p w14:paraId="187344A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15.47</w:t>
            </w:r>
          </w:p>
        </w:tc>
        <w:tc>
          <w:tcPr>
            <w:tcW w:w="567" w:type="dxa"/>
            <w:tcBorders>
              <w:top w:val="single" w:sz="4" w:space="0" w:color="auto"/>
              <w:left w:val="nil"/>
              <w:bottom w:val="single" w:sz="4" w:space="0" w:color="auto"/>
              <w:right w:val="nil"/>
            </w:tcBorders>
            <w:vAlign w:val="center"/>
          </w:tcPr>
          <w:p w14:paraId="191D730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7.6</w:t>
            </w:r>
          </w:p>
        </w:tc>
        <w:tc>
          <w:tcPr>
            <w:tcW w:w="284" w:type="dxa"/>
            <w:tcBorders>
              <w:top w:val="nil"/>
              <w:bottom w:val="nil"/>
            </w:tcBorders>
            <w:vAlign w:val="center"/>
          </w:tcPr>
          <w:p w14:paraId="19D22AB6"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2EBD3BD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w:t>
            </w:r>
          </w:p>
        </w:tc>
        <w:tc>
          <w:tcPr>
            <w:tcW w:w="762" w:type="dxa"/>
            <w:vAlign w:val="center"/>
          </w:tcPr>
          <w:p w14:paraId="2CACA78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w:t>
            </w:r>
          </w:p>
        </w:tc>
        <w:tc>
          <w:tcPr>
            <w:tcW w:w="935" w:type="dxa"/>
            <w:vAlign w:val="center"/>
          </w:tcPr>
          <w:p w14:paraId="76A2CCE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0.484</w:t>
            </w:r>
          </w:p>
        </w:tc>
        <w:tc>
          <w:tcPr>
            <w:tcW w:w="765" w:type="dxa"/>
            <w:vAlign w:val="center"/>
          </w:tcPr>
          <w:p w14:paraId="5E9B162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1:2.75 (M)</w:t>
            </w:r>
          </w:p>
        </w:tc>
        <w:tc>
          <w:tcPr>
            <w:tcW w:w="1045" w:type="dxa"/>
            <w:vAlign w:val="center"/>
          </w:tcPr>
          <w:p w14:paraId="7EAEA3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Ambient</w:t>
            </w:r>
            <w:proofErr w:type="spellEnd"/>
            <w:r w:rsidRPr="00704E49">
              <w:rPr>
                <w:rFonts w:ascii="Calibri" w:eastAsia="等线" w:hAnsi="Calibri" w:cs="Calibri"/>
                <w:sz w:val="14"/>
                <w:szCs w:val="14"/>
              </w:rPr>
              <w:t xml:space="preserve"> (23 °C)</w:t>
            </w:r>
          </w:p>
        </w:tc>
        <w:tc>
          <w:tcPr>
            <w:tcW w:w="1103" w:type="dxa"/>
            <w:vAlign w:val="center"/>
          </w:tcPr>
          <w:p w14:paraId="0CD5695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40</w:t>
            </w:r>
          </w:p>
        </w:tc>
        <w:tc>
          <w:tcPr>
            <w:tcW w:w="1571" w:type="dxa"/>
            <w:vAlign w:val="center"/>
          </w:tcPr>
          <w:p w14:paraId="7236049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decreased 10 - 20 % compared with OPC mortar</w:t>
            </w:r>
          </w:p>
          <w:p w14:paraId="1D5B0F9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90d: close to OPC mortar</w:t>
            </w:r>
          </w:p>
        </w:tc>
        <w:tc>
          <w:tcPr>
            <w:tcW w:w="944" w:type="dxa"/>
            <w:vAlign w:val="center"/>
          </w:tcPr>
          <w:p w14:paraId="4971DBB6" w14:textId="4CBFDF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{"citationItems":[{"id":"ITEM-1","itemData":{"DOI":"10.1016/j.jclepro.2020.120675","ISSN":"09596526","abstract":"To investigate the municipal solid waste (MSW) incineration bottom ash (IBA) as a value-added building material, this study focuses on evaluating different IBA constituents (such as glass, ceramic, mineral, slag-I with low-ferrous sintered phase and slag-II with high ferrous sintered phase) to be used as supplementary cementitious materials (SCMs) and then comparing to commercial SCMs (ground-granulated blast-furnace slag-GGBS and fly ash-FA). The investigated IBA constituents were milled into powder and then used as SCMs to partially replace cement in mortars. Their influences on cement hydration were evaluated by an isothermal calorimeter and the pozzolanic activities were assessed through the modified Chapelle test. The strength development of the mortars was studied to quantify their contributions as SCMs when compared to that of GGBS and FA. The microstructure of the hydrated mortar with IBA constituents was further evaluated. The experimental results showed that, at an early age of the IBA blended cement hydration, the powdered IBA constituents contributed to an increase in heat release, which was higher than that of FA and lower than that of GGBS; and the formation of monosulphate was accelerated. After 90 days’ curing, the powdered glass and ceramic fractions derived from IBA contributed significantly to the mortar strength compared to other constituents, indicating their relatively high reactivity that was confirmed by their high consumption of portlandite in the modified Chapelle test. The samples prepared with glass and ceramic powders derived from IBA had a relatively higher efficiency strength index (ESIt,FA/GGBS) than other IBA constituents, indicating their higher potential to be used as SCM alternatives. Therefore, it is suggested that the ground ceramic and glass fractions separated from IBA can be used as SCM alternati</w:instrText>
            </w:r>
            <w:r w:rsidR="005E7D08" w:rsidRPr="00704E49">
              <w:rPr>
                <w:rFonts w:ascii="Calibri" w:eastAsia="等线" w:hAnsi="Calibri" w:cs="Calibri"/>
                <w:sz w:val="14"/>
                <w:szCs w:val="14"/>
                <w:lang w:val="en-US"/>
              </w:rPr>
              <w:instrText>ves, which can achieve over 80% and over 93% ESI of that of FA and GGBS, respectively. Furthermore, the other fractions of IBA, namely the coarse IBA and IBA-minerals can only be used as fillers.","author":[{"dropping-particle":"","family":"Tang","given":"Pei","non-dropping-particle":"","parse-names":false,"suffix":""},{"dropping-particle":"","family":"Chen","given":"Wei","non-dropping-particle":"","parse-names":false,"suffix":""},{"dropping-particle":"","family":"Xuan","given":"Dongxing","non-dropping-particle":"","parse-names":false,"suffix":""},{"dropping-particle":"","family":"Zuo","given":"Ying","non-dropping-particle":"","parse-names":false,"suffix":""},{"dropping-particle":"","family":"Poon","given":"Chi Sun","non-dropping-particle":"","parse-names":false,"suffix":""}],"container-title":"Journal of Cleaner Production","id":"ITEM-1","issued":{"date-parts":[["2020"]]},"publisher":"Elsevier Ltd","title":"Investigation of cementitious properties of different constituents in municipal solid waste incineration bottom ash as supplementary cementitious materials","type":"article-journal","volume":"258"},"uris":["http://www.mendeley.com/documents/?uuid=8d9b8d92-a0e7-4832-b598-f81c5ca7bf9f"]}],"mendeley":{"formattedCitation":"(Pei Tang et al., 2020)","plainTextFormattedCitation":"(Pei Tang et al., 2020)","previouslyFormattedCitation":"(Pei Tang et al., 2020)"},"properties":{"noteIndex":0},"schema":"https://github.com/citation-style-language/schema/raw/master/csl-citation.json"}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lang w:val="en-GB"/>
              </w:rPr>
              <w:t>(Pei Tang et al., 2020)</w:t>
            </w:r>
            <w:r w:rsidRPr="00704E49">
              <w:rPr>
                <w:rFonts w:ascii="Calibri" w:eastAsia="等线" w:hAnsi="Calibri" w:cs="Calibri"/>
                <w:sz w:val="14"/>
                <w:szCs w:val="14"/>
              </w:rPr>
              <w:fldChar w:fldCharType="end"/>
            </w:r>
          </w:p>
        </w:tc>
      </w:tr>
      <w:tr w:rsidR="00D76C75" w:rsidRPr="00704E49" w14:paraId="4B13170E"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0C8F51E0" w14:textId="77777777" w:rsidR="00D76C75" w:rsidRPr="00704E49" w:rsidRDefault="00D76C75" w:rsidP="00D76C75">
            <w:pPr>
              <w:widowControl/>
              <w:jc w:val="center"/>
              <w:rPr>
                <w:rFonts w:ascii="Calibri" w:eastAsia="等线" w:hAnsi="Calibri" w:cs="Calibri"/>
                <w:sz w:val="14"/>
                <w:szCs w:val="14"/>
                <w:lang w:val="en-GB"/>
              </w:rPr>
            </w:pPr>
            <w:r w:rsidRPr="00704E49">
              <w:rPr>
                <w:rFonts w:ascii="Calibri" w:eastAsia="等线" w:hAnsi="Calibri" w:cs="Calibri"/>
                <w:sz w:val="14"/>
                <w:szCs w:val="14"/>
                <w:lang w:val="en-GB"/>
              </w:rPr>
              <w:t>China (Mainland)</w:t>
            </w:r>
          </w:p>
        </w:tc>
        <w:tc>
          <w:tcPr>
            <w:tcW w:w="1414" w:type="dxa"/>
            <w:vAlign w:val="center"/>
          </w:tcPr>
          <w:p w14:paraId="7144BF6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w:t>
            </w:r>
            <w:r w:rsidRPr="00704E49">
              <w:rPr>
                <w:rFonts w:ascii="Calibri" w:eastAsia="等线" w:hAnsi="Calibri" w:cs="Calibri"/>
                <w:sz w:val="14"/>
                <w:szCs w:val="14"/>
                <w:vertAlign w:val="subscript"/>
                <w:lang w:val="en-GB"/>
              </w:rPr>
              <w:t>50</w:t>
            </w:r>
            <w:r w:rsidRPr="00704E49">
              <w:rPr>
                <w:rFonts w:ascii="Calibri" w:eastAsia="等线" w:hAnsi="Calibri" w:cs="Calibri"/>
                <w:sz w:val="14"/>
                <w:szCs w:val="14"/>
                <w:lang w:val="en-GB"/>
              </w:rPr>
              <w:t xml:space="preserve"> = 10</w:t>
            </w:r>
          </w:p>
        </w:tc>
        <w:tc>
          <w:tcPr>
            <w:tcW w:w="1085" w:type="dxa"/>
            <w:vAlign w:val="center"/>
          </w:tcPr>
          <w:p w14:paraId="7570127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Ball milled</w:t>
            </w:r>
          </w:p>
        </w:tc>
        <w:tc>
          <w:tcPr>
            <w:tcW w:w="236" w:type="dxa"/>
            <w:tcBorders>
              <w:top w:val="nil"/>
              <w:bottom w:val="nil"/>
            </w:tcBorders>
            <w:vAlign w:val="center"/>
          </w:tcPr>
          <w:p w14:paraId="6781015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5B1C998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53.76</w:t>
            </w:r>
          </w:p>
        </w:tc>
        <w:tc>
          <w:tcPr>
            <w:tcW w:w="850" w:type="dxa"/>
            <w:gridSpan w:val="2"/>
            <w:tcBorders>
              <w:top w:val="single" w:sz="4" w:space="0" w:color="auto"/>
              <w:bottom w:val="single" w:sz="4" w:space="0" w:color="auto"/>
            </w:tcBorders>
            <w:vAlign w:val="center"/>
          </w:tcPr>
          <w:p w14:paraId="7339C73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14.25</w:t>
            </w:r>
          </w:p>
        </w:tc>
        <w:tc>
          <w:tcPr>
            <w:tcW w:w="567" w:type="dxa"/>
            <w:tcBorders>
              <w:top w:val="single" w:sz="4" w:space="0" w:color="auto"/>
              <w:left w:val="nil"/>
              <w:bottom w:val="single" w:sz="4" w:space="0" w:color="auto"/>
              <w:right w:val="nil"/>
            </w:tcBorders>
            <w:vAlign w:val="center"/>
          </w:tcPr>
          <w:p w14:paraId="0A9CBBF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8.73</w:t>
            </w:r>
          </w:p>
        </w:tc>
        <w:tc>
          <w:tcPr>
            <w:tcW w:w="284" w:type="dxa"/>
            <w:tcBorders>
              <w:top w:val="nil"/>
              <w:bottom w:val="nil"/>
            </w:tcBorders>
            <w:vAlign w:val="center"/>
          </w:tcPr>
          <w:p w14:paraId="39E48A24"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901" w:type="dxa"/>
            <w:tcBorders>
              <w:top w:val="single" w:sz="4" w:space="0" w:color="auto"/>
              <w:bottom w:val="single" w:sz="4" w:space="0" w:color="auto"/>
            </w:tcBorders>
            <w:vAlign w:val="center"/>
          </w:tcPr>
          <w:p w14:paraId="0F94478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30</w:t>
            </w:r>
          </w:p>
        </w:tc>
        <w:tc>
          <w:tcPr>
            <w:tcW w:w="762" w:type="dxa"/>
            <w:vAlign w:val="center"/>
          </w:tcPr>
          <w:p w14:paraId="468874E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w:t>
            </w:r>
          </w:p>
          <w:p w14:paraId="7BF8EB7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Class 42.5</w:t>
            </w:r>
          </w:p>
        </w:tc>
        <w:tc>
          <w:tcPr>
            <w:tcW w:w="935" w:type="dxa"/>
            <w:vAlign w:val="center"/>
          </w:tcPr>
          <w:p w14:paraId="176D837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0.5</w:t>
            </w:r>
          </w:p>
        </w:tc>
        <w:tc>
          <w:tcPr>
            <w:tcW w:w="765" w:type="dxa"/>
            <w:vAlign w:val="center"/>
          </w:tcPr>
          <w:p w14:paraId="5F58C98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1:3 (M)</w:t>
            </w:r>
          </w:p>
        </w:tc>
        <w:tc>
          <w:tcPr>
            <w:tcW w:w="1045" w:type="dxa"/>
            <w:vAlign w:val="center"/>
          </w:tcPr>
          <w:p w14:paraId="6C38892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20 ± 2 °C, saturated lime water</w:t>
            </w:r>
          </w:p>
        </w:tc>
        <w:tc>
          <w:tcPr>
            <w:tcW w:w="1103" w:type="dxa"/>
            <w:vAlign w:val="center"/>
          </w:tcPr>
          <w:p w14:paraId="4FF264B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40 × 40 × 160</w:t>
            </w:r>
          </w:p>
        </w:tc>
        <w:tc>
          <w:tcPr>
            <w:tcW w:w="1571" w:type="dxa"/>
            <w:vAlign w:val="center"/>
          </w:tcPr>
          <w:p w14:paraId="210EF90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around 40</w:t>
            </w:r>
          </w:p>
        </w:tc>
        <w:tc>
          <w:tcPr>
            <w:tcW w:w="944" w:type="dxa"/>
            <w:vAlign w:val="center"/>
          </w:tcPr>
          <w:p w14:paraId="567469FE" w14:textId="3EDD5AF6"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lang w:val="en-GB"/>
              </w:rPr>
              <w:instrText>ADDIN CSL_CITATION {"citationItems":[{"id":"ITEM-1","itemData":{"DOI":"10.1016/j.wasman.2018.07.002","ISSN":"18792456","PMID":"32559979","abstract":"In the present study, the long-term leaching behaviors of heavy metals in the cement composites prepared by the municipal solid wastes incineration (MSWI) bottom ash are evaluated based on the modified NEN 7375 protocol. The leaching test of the compact and ground cement composites were performed in both the deionized water and saline water for 180 days. The results showed that the heavy metals investigated could be classified into three categories according to their leaching behaviors. In the first category, the concentrations of Cu, Cd, Pb, As, V and Ba in the leachate increased with the leaching time. Zn and Sn can be included into the second category, because a decline in their leaching concentrations was observed after the initial increase. In the third category, the concentration of Ni in the leachate decreased initially, but increased afterward. The results revealed that the concentrations of most heavy metals were within the corresponding regulation, except for As in saline water. The kinetic study revealed that, for most heavy metals, the leaching kinetic is controlled by diffusion in the deionized water, while by the surface wash-off in the saline water. Finally, the mechanical tests confirmed that the cement composites prepared by MSWI bottom ash were durable in the saline water. The overall results demonstrate that the MSWI bottom ash can be a promising alternative as the cementitious component applied in cements or concretes for civil engineering.","author":[{"dropping-particle":"","family":"Yang","given":"Zhenzhou","non-dropping-particle":"","parse-names":false,"suffix":""},{"dropping-particle":"","family":"Tian","given":"Sicong","non-dropping-particle":"","parse-names":false,"suffix":""},{"dropping-particle":"","family":"Liu","given":"Lili","non-dropping-particle":"","parse-names":false,"suffix":""},{"dropping-particle":"","family":"Wang","given":"Xidong","non-dropping-particle":"","parse-names":false,"suffix":""},{"dropping-particle":"","family":"Zhang","given":"Zuotai","non-dropping-particle":"","parse-names":false,"suffix":""}],"container-title":"Waste Management","id":"ITEM-1","issued":{"date-parts":[["2018"]]},"page":"841-848","publisher":"Elsevier Ltd","title":"Recycling ground MSWI bottom ash in cement composites: Long-term environmental impacts","type":"article-journal","volume":"78"},"uris":["http://www.mendeley.com/documents/?uuid=31f8133a-4277-4e71-95d0-0a7c5267292b"]}],"mendeley":{"formattedCitation":"(Yang, Tian, et al., 2018)","plainTextFormattedCitation":"(Yang, Tian, et al., 2018)","previouslyFormattedCitation":"(Yang, Tian, et al., 2018)"},"properties":{"noteIndex":0},"schema":"https://github.com/citation-style-language/schema/raw/master/csl-citation.json"}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(Yang, Tian, et al., 2018)</w:t>
            </w:r>
            <w:r w:rsidRPr="00704E49">
              <w:rPr>
                <w:rFonts w:ascii="Calibri" w:eastAsia="等线" w:hAnsi="Calibri" w:cs="Calibri"/>
                <w:sz w:val="14"/>
                <w:szCs w:val="14"/>
              </w:rPr>
              <w:fldChar w:fldCharType="end"/>
            </w:r>
          </w:p>
        </w:tc>
      </w:tr>
      <w:tr w:rsidR="00D76C75" w:rsidRPr="00704E49" w14:paraId="6F993CB8"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6684F80"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lastRenderedPageBreak/>
              <w:t xml:space="preserve">China (Mainland) </w:t>
            </w:r>
          </w:p>
        </w:tc>
        <w:tc>
          <w:tcPr>
            <w:tcW w:w="1414" w:type="dxa"/>
            <w:vAlign w:val="center"/>
          </w:tcPr>
          <w:p w14:paraId="5ABEAC0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26.4 - 83.6</w:t>
            </w:r>
          </w:p>
        </w:tc>
        <w:tc>
          <w:tcPr>
            <w:tcW w:w="1085" w:type="dxa"/>
            <w:vAlign w:val="center"/>
          </w:tcPr>
          <w:p w14:paraId="5FDB64A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Milling</w:t>
            </w:r>
          </w:p>
          <w:p w14:paraId="7EB17D7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(CaCO</w:t>
            </w:r>
            <w:r w:rsidRPr="00704E49">
              <w:rPr>
                <w:rFonts w:ascii="Calibri" w:eastAsia="等线" w:hAnsi="Calibri" w:cs="Calibri"/>
                <w:sz w:val="14"/>
                <w:szCs w:val="14"/>
                <w:vertAlign w:val="subscript"/>
                <w:lang w:val="en-GB"/>
              </w:rPr>
              <w:t>3</w:t>
            </w:r>
            <w:r w:rsidRPr="00704E49">
              <w:rPr>
                <w:rFonts w:ascii="Calibri" w:eastAsia="等线" w:hAnsi="Calibri" w:cs="Calibri"/>
                <w:sz w:val="14"/>
                <w:szCs w:val="14"/>
                <w:lang w:val="en-GB"/>
              </w:rPr>
              <w:t xml:space="preserve"> was milled together with MSWI bottom ash at a mass ratio ranging of 0, 0.1, 0.2, and 0.3))</w:t>
            </w:r>
          </w:p>
        </w:tc>
        <w:tc>
          <w:tcPr>
            <w:tcW w:w="236" w:type="dxa"/>
            <w:tcBorders>
              <w:top w:val="nil"/>
              <w:bottom w:val="nil"/>
            </w:tcBorders>
            <w:vAlign w:val="center"/>
          </w:tcPr>
          <w:p w14:paraId="7A27F2E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699FA27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52.99</w:t>
            </w:r>
          </w:p>
        </w:tc>
        <w:tc>
          <w:tcPr>
            <w:tcW w:w="850" w:type="dxa"/>
            <w:gridSpan w:val="2"/>
            <w:tcBorders>
              <w:top w:val="single" w:sz="4" w:space="0" w:color="auto"/>
              <w:bottom w:val="single" w:sz="4" w:space="0" w:color="auto"/>
            </w:tcBorders>
            <w:vAlign w:val="center"/>
          </w:tcPr>
          <w:p w14:paraId="2C27F7B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19.93</w:t>
            </w:r>
          </w:p>
        </w:tc>
        <w:tc>
          <w:tcPr>
            <w:tcW w:w="567" w:type="dxa"/>
            <w:tcBorders>
              <w:top w:val="single" w:sz="4" w:space="0" w:color="auto"/>
              <w:left w:val="nil"/>
              <w:bottom w:val="single" w:sz="4" w:space="0" w:color="auto"/>
              <w:right w:val="nil"/>
            </w:tcBorders>
            <w:vAlign w:val="center"/>
          </w:tcPr>
          <w:p w14:paraId="1456C41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10.51</w:t>
            </w:r>
          </w:p>
        </w:tc>
        <w:tc>
          <w:tcPr>
            <w:tcW w:w="284" w:type="dxa"/>
            <w:tcBorders>
              <w:top w:val="nil"/>
              <w:bottom w:val="nil"/>
            </w:tcBorders>
            <w:vAlign w:val="center"/>
          </w:tcPr>
          <w:p w14:paraId="5FAE021E"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31942F9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29</w:t>
            </w:r>
          </w:p>
        </w:tc>
        <w:tc>
          <w:tcPr>
            <w:tcW w:w="762" w:type="dxa"/>
            <w:vAlign w:val="center"/>
          </w:tcPr>
          <w:p w14:paraId="1CF25C8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Portland cement </w:t>
            </w:r>
          </w:p>
          <w:p w14:paraId="18D50C2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Class 42.5</w:t>
            </w:r>
          </w:p>
        </w:tc>
        <w:tc>
          <w:tcPr>
            <w:tcW w:w="935" w:type="dxa"/>
            <w:vAlign w:val="center"/>
          </w:tcPr>
          <w:p w14:paraId="4040DF5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0.3</w:t>
            </w:r>
          </w:p>
        </w:tc>
        <w:tc>
          <w:tcPr>
            <w:tcW w:w="765" w:type="dxa"/>
            <w:vAlign w:val="center"/>
          </w:tcPr>
          <w:p w14:paraId="13C58B1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1C74B8F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2 °C, 98 % RH</w:t>
            </w:r>
          </w:p>
        </w:tc>
        <w:tc>
          <w:tcPr>
            <w:tcW w:w="1103" w:type="dxa"/>
            <w:vAlign w:val="center"/>
          </w:tcPr>
          <w:p w14:paraId="44E8682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w:t>
            </w:r>
          </w:p>
        </w:tc>
        <w:tc>
          <w:tcPr>
            <w:tcW w:w="1571" w:type="dxa"/>
            <w:vAlign w:val="center"/>
          </w:tcPr>
          <w:p w14:paraId="22F1194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29.05 - 55.84</w:t>
            </w:r>
          </w:p>
          <w:p w14:paraId="16649D7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(Paste samples were dried for 24h at ambient temperature before testing)</w:t>
            </w:r>
          </w:p>
        </w:tc>
        <w:tc>
          <w:tcPr>
            <w:tcW w:w="944" w:type="dxa"/>
            <w:vAlign w:val="center"/>
          </w:tcPr>
          <w:p w14:paraId="2CF935FF" w14:textId="53D1D382"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{"citationItems":[{"id":"ITEM-1","itemData":{"DOI":"10.1016/j.jclepro.2022.132533","ISSN":"09596526","abstract":"This laboratory study explores the effects of mechanical activation on the properties of municipal solid waste incineration (MSWI) bottom ash (BA) in a cement hydration system. The experimental results showed that the mechanical activation effectively reduced the particle size of municipal solid waste incineration bottom ash (MSWIBA), increased its specific surface area by about 770%, 1674%, and 1990%, and improved the 28d compressive strength of bottom ash-cement paste samples by about 5%, 14%, and 8% after milling of 15min, 30min, and 45min, respectively. The scanning electron microscopy revealed that the microstructure of the 30min-milled bottom ash-cement sample was more homogenous than other samples, which likely accounted for the difference in compressive strength. X-ray diﬀraction, Fourier transform infrared spectroscopy, and thermogravimetric analysis were employed to shed light on the process, products, and degree of hydration of bottom ash-cement pastes. In addition, the leachate toxicity of heavy metals was evaluated and the 30min-milled bottom ash-cement paste showed the best binding effect in reducing the leaching of heavy metals. This work demonstrates the great potential of using mechanical-activated MSWI bottom ash as a supplementary cementitious material with acceptable environmental footprint.","author":[{"dropping-particle":"","family":"Gong","given":"Jing","non-dropping-particle":"","parse-names":false,"suffix":""},{"dropping-particle":"","family":"Yu","given":"Lili","non-dropping-particle":"","parse-names":false,"suffix":""},{"dropping-particle":"","family":"Li","given":"Zhipeng","non-dropping-particle":"","parse-names":false,"suffix":""},{"dropping-particle":"","family":"Shi","given":"Xianming","non-dropping-particle":"","parse-names":false,"suffix":""}],"container-title":"Journal of Cleaner Production","id":"ITEM-1","issued":{"date-parts":[["2022","8"]]},"page":"132533","title":"Mechanical activation improves reactivity and reduces leaching of municipal solid waste incineration (MSWI) bottom ash in cement hydration system","type":"article-journal","volume":"363"},"uris":["http://www.mendeley.com/documents/?uuid=6cd6d8eb-da47-4850-bf77-6977ec55fc69"]}],"mendeley":{"formattedCitation":"(Gong et al., 2022)","plainTextFormattedCitation":"(Gong et al., 2022)","previouslyFormattedCitation":"(Gong et al., 2022)"},"properties":{"noteIndex":0},"schema":"https://github.com/citation-style-language/schema/raw/master/csl-citation.json"}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(Gong et al., 2022)</w:t>
            </w:r>
            <w:r w:rsidRPr="00704E49">
              <w:rPr>
                <w:rFonts w:ascii="Calibri" w:eastAsia="等线" w:hAnsi="Calibri" w:cs="Calibri"/>
                <w:sz w:val="14"/>
                <w:szCs w:val="14"/>
              </w:rPr>
              <w:fldChar w:fldCharType="end"/>
            </w:r>
          </w:p>
        </w:tc>
      </w:tr>
      <w:tr w:rsidR="00D76C75" w:rsidRPr="00704E49" w14:paraId="14D4814B" w14:textId="77777777" w:rsidTr="00AC0648">
        <w:trPr>
          <w:trHeight w:val="1133"/>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64BB4AD0" w14:textId="77777777" w:rsidR="00D76C75" w:rsidRPr="00704E49" w:rsidRDefault="00D76C75" w:rsidP="00D76C75">
            <w:pPr>
              <w:widowControl/>
              <w:jc w:val="center"/>
              <w:rPr>
                <w:rFonts w:ascii="Calibri" w:eastAsia="等线" w:hAnsi="Calibri" w:cs="Calibri"/>
                <w:sz w:val="14"/>
                <w:szCs w:val="14"/>
              </w:rPr>
            </w:pPr>
            <w:bookmarkStart w:id="7" w:name="_Hlk73739875"/>
            <w:r w:rsidRPr="00704E49">
              <w:rPr>
                <w:rFonts w:ascii="Calibri" w:eastAsia="等线" w:hAnsi="Calibri" w:cs="Calibri"/>
                <w:sz w:val="14"/>
                <w:szCs w:val="14"/>
              </w:rPr>
              <w:t>Italy</w:t>
            </w:r>
          </w:p>
        </w:tc>
        <w:tc>
          <w:tcPr>
            <w:tcW w:w="1414" w:type="dxa"/>
            <w:vAlign w:val="center"/>
          </w:tcPr>
          <w:p w14:paraId="0032040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bookmarkStart w:id="8" w:name="_Hlk68343700"/>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3</w:t>
            </w:r>
            <w:bookmarkEnd w:id="8"/>
          </w:p>
        </w:tc>
        <w:tc>
          <w:tcPr>
            <w:tcW w:w="1085" w:type="dxa"/>
            <w:vAlign w:val="center"/>
          </w:tcPr>
          <w:p w14:paraId="19D13AB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lang w:val="en-GB"/>
              </w:rPr>
            </w:pPr>
            <w:r w:rsidRPr="00704E49">
              <w:rPr>
                <w:rFonts w:ascii="Calibri" w:eastAsia="等线" w:hAnsi="Calibri" w:cs="Arial"/>
                <w:sz w:val="14"/>
                <w:szCs w:val="14"/>
                <w:lang w:val="en-GB"/>
              </w:rPr>
              <w:t>Microsphere milled (wet ground, solid/water ratio of 1:1)</w:t>
            </w:r>
          </w:p>
        </w:tc>
        <w:tc>
          <w:tcPr>
            <w:tcW w:w="236" w:type="dxa"/>
            <w:tcBorders>
              <w:top w:val="nil"/>
              <w:bottom w:val="nil"/>
            </w:tcBorders>
            <w:vAlign w:val="center"/>
          </w:tcPr>
          <w:p w14:paraId="0AC549F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4DB3F47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53.41</w:t>
            </w:r>
          </w:p>
        </w:tc>
        <w:tc>
          <w:tcPr>
            <w:tcW w:w="850" w:type="dxa"/>
            <w:gridSpan w:val="2"/>
            <w:tcBorders>
              <w:top w:val="single" w:sz="4" w:space="0" w:color="auto"/>
              <w:bottom w:val="single" w:sz="4" w:space="0" w:color="auto"/>
            </w:tcBorders>
            <w:vAlign w:val="center"/>
          </w:tcPr>
          <w:p w14:paraId="0BB538F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13.25</w:t>
            </w:r>
          </w:p>
        </w:tc>
        <w:tc>
          <w:tcPr>
            <w:tcW w:w="567" w:type="dxa"/>
            <w:tcBorders>
              <w:top w:val="single" w:sz="4" w:space="0" w:color="auto"/>
              <w:left w:val="nil"/>
              <w:bottom w:val="single" w:sz="4" w:space="0" w:color="auto"/>
              <w:right w:val="nil"/>
            </w:tcBorders>
            <w:vAlign w:val="center"/>
          </w:tcPr>
          <w:p w14:paraId="42567A2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10.29</w:t>
            </w:r>
          </w:p>
        </w:tc>
        <w:tc>
          <w:tcPr>
            <w:tcW w:w="284" w:type="dxa"/>
            <w:tcBorders>
              <w:top w:val="nil"/>
              <w:bottom w:val="nil"/>
            </w:tcBorders>
            <w:vAlign w:val="center"/>
          </w:tcPr>
          <w:p w14:paraId="0A99D729"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4ADFE5F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30</w:t>
            </w:r>
          </w:p>
        </w:tc>
        <w:tc>
          <w:tcPr>
            <w:tcW w:w="762" w:type="dxa"/>
            <w:vAlign w:val="center"/>
          </w:tcPr>
          <w:p w14:paraId="0A85CC5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52.5 R)</w:t>
            </w:r>
          </w:p>
        </w:tc>
        <w:tc>
          <w:tcPr>
            <w:tcW w:w="935" w:type="dxa"/>
            <w:vAlign w:val="center"/>
          </w:tcPr>
          <w:p w14:paraId="49FCBB0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0.5</w:t>
            </w:r>
          </w:p>
          <w:p w14:paraId="7FA0202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3CFEA13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w:t>
            </w:r>
          </w:p>
        </w:tc>
        <w:tc>
          <w:tcPr>
            <w:tcW w:w="1045" w:type="dxa"/>
            <w:vAlign w:val="center"/>
          </w:tcPr>
          <w:p w14:paraId="0F7B3FB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95 % RH</w:t>
            </w:r>
          </w:p>
        </w:tc>
        <w:tc>
          <w:tcPr>
            <w:tcW w:w="1103" w:type="dxa"/>
            <w:vAlign w:val="center"/>
          </w:tcPr>
          <w:p w14:paraId="0647A0E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100 × 100 × 100</w:t>
            </w:r>
          </w:p>
        </w:tc>
        <w:tc>
          <w:tcPr>
            <w:tcW w:w="1571" w:type="dxa"/>
            <w:vAlign w:val="center"/>
          </w:tcPr>
          <w:p w14:paraId="04F38BF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64.5</w:t>
            </w:r>
            <w:r w:rsidRPr="00704E49">
              <w:rPr>
                <w:rFonts w:ascii="Calibri" w:eastAsia="等线" w:hAnsi="Calibri" w:cs="Calibri"/>
                <w:sz w:val="14"/>
                <w:szCs w:val="14"/>
                <w:vertAlign w:val="superscript"/>
                <w:lang w:val="en-GB"/>
              </w:rPr>
              <w:t>28d</w:t>
            </w:r>
          </w:p>
          <w:p w14:paraId="0E4D4D5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(1.6 % higher than OPC concrete)</w:t>
            </w:r>
          </w:p>
          <w:p w14:paraId="469D98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90d and 180d: higher than OPC concrete</w:t>
            </w:r>
          </w:p>
        </w:tc>
        <w:tc>
          <w:tcPr>
            <w:tcW w:w="944" w:type="dxa"/>
            <w:vAlign w:val="center"/>
          </w:tcPr>
          <w:p w14:paraId="27020DB4" w14:textId="3C74D1FA"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{"citationItems":[{"id":"ITEM-1","itemData":{"DOI":"10.1016/j.cemconres.2004.02.001","ISSN":"00088846","abstract":"The paper describes the results of a research aimed at studying the effect of replacing part of portland cement with fly ash and bottom ash, both from municipal solid waste incinerators (MSWIs). Fly ash was subjected to a washing treatment to reduce the chloride content, while bottom ash was subjected to dry or wet grinding underwater. Concretes with addition of different types of ashes, including a traditional coal fly ash (FA), were manufactured. Fresh and hardened properties of the concretes were compared in order to study the advantages and the side effects of each type of addition. Results showed that MSWI bottom ash is potentially attractive as mineral addition for the production of concrete, provided that the risk of entrapment of hydrogen bubbles produced by corrosion of aluminium metallic particles in the fresh concrete is prevented. This could be achieved by wet grinding the bottom ash so that reactions leading to gas development exhaust within the slurry before this is added to the concrete mixture. However, by considering bottom ashes from different incinerators, a great variability was observed in the time required to complete the hydrogen gas production. Nevertheless, when the hydrogen development in the fresh concrete could be avoided, wet ground MSWI bottom showed a good pozzolanic behavior and proved to give a significant contribution to the development of the strength and impermeability of concrete. © 2004 Elsevier Ltd. All rights reserved.","author":[{"dropping-particle":"","family":"Bertolini","given":"Luca","non-dropping-particle":"","parse-names":false,"suffix":""},{"dropping-particle":"","family":"Carsana","given":"Maddalena","non-dropping-particle":"","parse-names":false,"suffix":""},{"dropping-particle":"","family":"Cassago","given":"Davide","non-dropping-particle":"","parse-names":false,"suffix":""},{"dropping-particle":"","family":"Curzio","given":"Alessandro Quadrio","non-dropping-particle":"","parse-names":false,"suffix":""},{"dropping-particle":"","family":"Collepardi","given":"Mario","non-dropping-particle":"","parse-names":false,"suffix":""}],"container-title":"Cement and Concrete Research","id":"ITEM-1","issue":"10","issued":{"date-parts":[["2004"]]},"page":"1899-1906","title":"MSWI ashes as mineral additions in concrete","type":"article-journal","volume":"34"},"uris":["http://www.mendeley.com/documents/?uuid=0c04079a-841f-4291-92ef-d913bc41f02a"]}],"mendeley":{"formattedCitation":"(Bertolini et al., 2004)","plainTextFormattedCitation":"(Bertolini et al., 2004)","previouslyFormattedCitation":"(Bertolini et al., 2004)"},"properties":{"noteIndex":0},"schema":"https://github.com/citation-style-language/schema/raw/master/csl-citation.json"}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(Bertolini et al., 2004)</w:t>
            </w:r>
            <w:r w:rsidRPr="00704E49">
              <w:rPr>
                <w:rFonts w:ascii="Calibri" w:eastAsia="等线" w:hAnsi="Calibri" w:cs="Calibri"/>
                <w:sz w:val="14"/>
                <w:szCs w:val="14"/>
              </w:rPr>
              <w:fldChar w:fldCharType="end"/>
            </w:r>
          </w:p>
        </w:tc>
      </w:tr>
      <w:tr w:rsidR="00D76C75" w:rsidRPr="00704E49" w14:paraId="086AE2D6" w14:textId="77777777" w:rsidTr="00AC0648">
        <w:trPr>
          <w:cnfStyle w:val="000000100000" w:firstRow="0" w:lastRow="0" w:firstColumn="0" w:lastColumn="0" w:oddVBand="0" w:evenVBand="0" w:oddHBand="1" w:evenHBand="0" w:firstRowFirstColumn="0" w:firstRowLastColumn="0" w:lastRowFirstColumn="0" w:lastRowLastColumn="0"/>
          <w:trHeight w:val="125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770D7FD"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Italy</w:t>
            </w:r>
          </w:p>
        </w:tc>
        <w:tc>
          <w:tcPr>
            <w:tcW w:w="1414" w:type="dxa"/>
            <w:vAlign w:val="center"/>
          </w:tcPr>
          <w:p w14:paraId="7F1AD22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3.5</w:t>
            </w:r>
          </w:p>
        </w:tc>
        <w:tc>
          <w:tcPr>
            <w:tcW w:w="1085" w:type="dxa"/>
            <w:vAlign w:val="center"/>
          </w:tcPr>
          <w:p w14:paraId="42FD532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lang w:val="en-GB"/>
              </w:rPr>
            </w:pPr>
            <w:r w:rsidRPr="00704E49">
              <w:rPr>
                <w:rFonts w:ascii="Calibri" w:eastAsia="等线" w:hAnsi="Calibri" w:cs="Arial"/>
                <w:sz w:val="14"/>
                <w:szCs w:val="14"/>
                <w:lang w:val="en-GB"/>
              </w:rPr>
              <w:t>wet ground (solid content in the slurry: 44 %)</w:t>
            </w:r>
          </w:p>
        </w:tc>
        <w:tc>
          <w:tcPr>
            <w:tcW w:w="236" w:type="dxa"/>
            <w:tcBorders>
              <w:top w:val="nil"/>
              <w:bottom w:val="nil"/>
            </w:tcBorders>
            <w:vAlign w:val="center"/>
          </w:tcPr>
          <w:p w14:paraId="0B6BB42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3DEAB30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61.9</w:t>
            </w:r>
          </w:p>
        </w:tc>
        <w:tc>
          <w:tcPr>
            <w:tcW w:w="850" w:type="dxa"/>
            <w:gridSpan w:val="2"/>
            <w:tcBorders>
              <w:top w:val="single" w:sz="4" w:space="0" w:color="auto"/>
              <w:bottom w:val="single" w:sz="4" w:space="0" w:color="auto"/>
            </w:tcBorders>
            <w:vAlign w:val="center"/>
          </w:tcPr>
          <w:p w14:paraId="6FE2E73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15.9</w:t>
            </w:r>
          </w:p>
        </w:tc>
        <w:tc>
          <w:tcPr>
            <w:tcW w:w="567" w:type="dxa"/>
            <w:tcBorders>
              <w:top w:val="single" w:sz="4" w:space="0" w:color="auto"/>
              <w:left w:val="nil"/>
              <w:bottom w:val="single" w:sz="4" w:space="0" w:color="auto"/>
              <w:right w:val="nil"/>
            </w:tcBorders>
            <w:vAlign w:val="center"/>
          </w:tcPr>
          <w:p w14:paraId="6ECDE4E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6.4</w:t>
            </w:r>
          </w:p>
        </w:tc>
        <w:tc>
          <w:tcPr>
            <w:tcW w:w="284" w:type="dxa"/>
            <w:tcBorders>
              <w:top w:val="nil"/>
              <w:bottom w:val="nil"/>
            </w:tcBorders>
            <w:vAlign w:val="center"/>
          </w:tcPr>
          <w:p w14:paraId="6BD25DC8"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0064BDF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30</w:t>
            </w:r>
          </w:p>
        </w:tc>
        <w:tc>
          <w:tcPr>
            <w:tcW w:w="762" w:type="dxa"/>
            <w:vAlign w:val="center"/>
          </w:tcPr>
          <w:p w14:paraId="33D86D6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Portland cement </w:t>
            </w:r>
          </w:p>
        </w:tc>
        <w:tc>
          <w:tcPr>
            <w:tcW w:w="935" w:type="dxa"/>
            <w:vAlign w:val="center"/>
          </w:tcPr>
          <w:p w14:paraId="10E98C2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0.43</w:t>
            </w:r>
          </w:p>
          <w:p w14:paraId="6AB312A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72DE8F7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w:t>
            </w:r>
          </w:p>
        </w:tc>
        <w:tc>
          <w:tcPr>
            <w:tcW w:w="1045" w:type="dxa"/>
            <w:vAlign w:val="center"/>
          </w:tcPr>
          <w:p w14:paraId="5F33A8E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20 °C, </w:t>
            </w:r>
            <w:proofErr w:type="spellStart"/>
            <w:r w:rsidRPr="00704E49">
              <w:rPr>
                <w:rFonts w:ascii="Calibri" w:eastAsia="等线" w:hAnsi="Calibri" w:cs="Calibri"/>
                <w:sz w:val="14"/>
                <w:szCs w:val="14"/>
              </w:rPr>
              <w:t>moist</w:t>
            </w:r>
            <w:proofErr w:type="spell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curing</w:t>
            </w:r>
            <w:proofErr w:type="spellEnd"/>
          </w:p>
        </w:tc>
        <w:tc>
          <w:tcPr>
            <w:tcW w:w="1103" w:type="dxa"/>
            <w:vAlign w:val="center"/>
          </w:tcPr>
          <w:p w14:paraId="5BE4189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100 × 100 × 100</w:t>
            </w:r>
          </w:p>
        </w:tc>
        <w:tc>
          <w:tcPr>
            <w:tcW w:w="1571" w:type="dxa"/>
            <w:vAlign w:val="center"/>
          </w:tcPr>
          <w:p w14:paraId="5890FF5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87</w:t>
            </w:r>
            <w:r w:rsidRPr="00704E49">
              <w:rPr>
                <w:rFonts w:ascii="Calibri" w:eastAsia="等线" w:hAnsi="Calibri" w:cs="Calibri"/>
                <w:sz w:val="14"/>
                <w:szCs w:val="14"/>
                <w:vertAlign w:val="superscript"/>
                <w:lang w:val="en-GB"/>
              </w:rPr>
              <w:t>180d</w:t>
            </w:r>
          </w:p>
          <w:p w14:paraId="4D9FE72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(around 20 % higher than OPC concrete)</w:t>
            </w:r>
          </w:p>
        </w:tc>
        <w:tc>
          <w:tcPr>
            <w:tcW w:w="944" w:type="dxa"/>
            <w:vAlign w:val="center"/>
          </w:tcPr>
          <w:p w14:paraId="0A736809" w14:textId="5BABB0AD"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{"citationItems":[{"id":"ITEM-1","itemData":{"DOI":"10.1002/maco.201608881","ISSN":"15214176","abstract":"Municipal solid waste incineration (MSWI) generates high amounts of bottom ash that, after grinding, could be used as mineral addition for concrete. Wet grinding of the bottom ash can prevent the risk of deleterious expansion due to hydrogen evolution, associated to the presence of metallic aluminium. The pozzolanic behavior of the bottom ash may improve concrete resistance to the penetration of aggressive species. Advantages of recycling wet-ground MSWI bottom ashes may even be higher when self-compacting concrete (SCC) is used, which requires large quantity of fine powders (usually more than 500 kg/m3) to prevent segregation of the fresh mix. This paper describes the results of a research aimed at investigating the use of wet-ground MSWI bottom ashes as mineral additions for the production of self-compacting concrete. Several types of mineral additions (MSWI bottom ash, coal fly ash, and ground limestone) were used in replacement of 15, 30, and 45% of Portland cement. The results showed that the MSWI ash, added to the mix as a fine slurry obtained by wet-grinding, led to the production of SCC concrete with compressive strength and resistance to chloride and carbonation similar, or even better, than those of concrete with same amount of coal fly ash.","author":[{"dropping-particle":"","family":"Carsana","given":"M","non-dropping-particle":"","parse-names":false,"suffix":""},{"dropping-particle":"","family":"Gastaldi","given":"M","non-dropping-particle":"","parse-names":false,"suffix":""},{"dropping-particle":"","family":"Lollini","given":"F","non-dropping-particle":"","parse-names":false,"suffix":""},{"dropping-particle":"","family":"Redaelli","given":"E","non-dropping-particle":"","parse-names":false,"suffix":""},{"dropping-particle":"","family":"Bertolini","given":"L","non-dropping-particle":"","parse-names":false,"suffix":""}],"container-title":"Materials and Corrosion","id":"ITEM-1","issue":"6","issued":{"date-parts":[["2016"]]},"page":"573-582","publisher":"Wiley-VCH Verlag","title":"Improving durability of reinforced concrete structures by recycling wet-ground MSWI bottom ash","type":"article-journal","volume":"67"},"uris":["http://www.mendeley.com/documents/?uuid=b999a24d-2a3c-43dc-80c8-1d4c0f22a858"]}],"mendeley":{"formattedCitation":"(Carsana et al., 2016)","plainTextFormattedCitation":"(Carsana et al., 2016)","previouslyFormattedCitation":"(Carsana et al., 2016)"},"properties":{"noteIndex":0},"schema":"https://github.com/citation-style-language/schema/raw/master/csl-citation.json"}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(Carsana et al., 2016)</w:t>
            </w:r>
            <w:r w:rsidRPr="00704E49">
              <w:rPr>
                <w:rFonts w:ascii="Calibri" w:eastAsia="等线" w:hAnsi="Calibri" w:cs="Calibri"/>
                <w:sz w:val="14"/>
                <w:szCs w:val="14"/>
              </w:rPr>
              <w:fldChar w:fldCharType="end"/>
            </w:r>
          </w:p>
        </w:tc>
      </w:tr>
      <w:bookmarkEnd w:id="7"/>
      <w:tr w:rsidR="00D76C75" w:rsidRPr="00704E49" w14:paraId="31ACBB1F" w14:textId="77777777" w:rsidTr="00AC0648">
        <w:trPr>
          <w:trHeight w:val="140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078CDCC0" w14:textId="77777777" w:rsidR="00D76C75" w:rsidRPr="00704E49" w:rsidRDefault="00D76C75" w:rsidP="00D76C75">
            <w:pPr>
              <w:widowControl/>
              <w:jc w:val="center"/>
              <w:rPr>
                <w:rFonts w:ascii="Calibri" w:eastAsia="等线" w:hAnsi="Calibri" w:cs="Calibri"/>
                <w:sz w:val="14"/>
                <w:szCs w:val="14"/>
              </w:rPr>
            </w:pPr>
            <w:proofErr w:type="spellStart"/>
            <w:r w:rsidRPr="00704E49">
              <w:rPr>
                <w:rFonts w:ascii="Calibri" w:eastAsia="等线" w:hAnsi="Calibri" w:cs="Calibri"/>
                <w:sz w:val="14"/>
                <w:szCs w:val="14"/>
              </w:rPr>
              <w:t>Then</w:t>
            </w:r>
            <w:proofErr w:type="spellEnd"/>
            <w:r w:rsidRPr="00704E49">
              <w:rPr>
                <w:rFonts w:ascii="Calibri" w:eastAsia="等线" w:hAnsi="Calibri" w:cs="Calibri"/>
                <w:sz w:val="14"/>
                <w:szCs w:val="14"/>
              </w:rPr>
              <w:t xml:space="preserve"> Netherlands</w:t>
            </w:r>
          </w:p>
        </w:tc>
        <w:tc>
          <w:tcPr>
            <w:tcW w:w="1414" w:type="dxa"/>
            <w:vAlign w:val="center"/>
          </w:tcPr>
          <w:p w14:paraId="41FD5D4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63</w:t>
            </w:r>
          </w:p>
          <w:p w14:paraId="2FF0817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 xml:space="preserve"> - </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&lt; 2 mm)</w:t>
            </w:r>
          </w:p>
        </w:tc>
        <w:tc>
          <w:tcPr>
            <w:tcW w:w="1085" w:type="dxa"/>
            <w:vAlign w:val="center"/>
          </w:tcPr>
          <w:p w14:paraId="38A3010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Ball milled + thermally treated (550 °C, 750 °C)</w:t>
            </w:r>
          </w:p>
          <w:p w14:paraId="606A503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Arial"/>
                <w:sz w:val="14"/>
                <w:szCs w:val="14"/>
              </w:rPr>
            </w:pPr>
            <w:r w:rsidRPr="00704E49">
              <w:rPr>
                <w:rFonts w:ascii="Calibri" w:eastAsia="等线" w:hAnsi="Calibri" w:cs="Calibri"/>
                <w:sz w:val="14"/>
                <w:szCs w:val="14"/>
              </w:rPr>
              <w:t>Metallic Al: &lt; 0.2</w:t>
            </w:r>
          </w:p>
        </w:tc>
        <w:tc>
          <w:tcPr>
            <w:tcW w:w="236" w:type="dxa"/>
            <w:tcBorders>
              <w:top w:val="nil"/>
              <w:bottom w:val="nil"/>
            </w:tcBorders>
            <w:vAlign w:val="center"/>
          </w:tcPr>
          <w:p w14:paraId="69951BE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185D8F9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35.98</w:t>
            </w:r>
          </w:p>
        </w:tc>
        <w:tc>
          <w:tcPr>
            <w:tcW w:w="850" w:type="dxa"/>
            <w:gridSpan w:val="2"/>
            <w:tcBorders>
              <w:top w:val="single" w:sz="4" w:space="0" w:color="auto"/>
              <w:bottom w:val="single" w:sz="4" w:space="0" w:color="auto"/>
            </w:tcBorders>
            <w:vAlign w:val="center"/>
          </w:tcPr>
          <w:p w14:paraId="585B7A8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19.34</w:t>
            </w:r>
          </w:p>
        </w:tc>
        <w:tc>
          <w:tcPr>
            <w:tcW w:w="567" w:type="dxa"/>
            <w:tcBorders>
              <w:top w:val="single" w:sz="4" w:space="0" w:color="auto"/>
              <w:left w:val="nil"/>
              <w:bottom w:val="single" w:sz="4" w:space="0" w:color="auto"/>
              <w:right w:val="nil"/>
            </w:tcBorders>
            <w:vAlign w:val="center"/>
          </w:tcPr>
          <w:p w14:paraId="4878C75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9</w:t>
            </w:r>
          </w:p>
        </w:tc>
        <w:tc>
          <w:tcPr>
            <w:tcW w:w="284" w:type="dxa"/>
            <w:tcBorders>
              <w:top w:val="nil"/>
              <w:bottom w:val="nil"/>
            </w:tcBorders>
            <w:vAlign w:val="center"/>
          </w:tcPr>
          <w:p w14:paraId="5C833754"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30EE879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30</w:t>
            </w:r>
          </w:p>
        </w:tc>
        <w:tc>
          <w:tcPr>
            <w:tcW w:w="762" w:type="dxa"/>
            <w:vAlign w:val="center"/>
          </w:tcPr>
          <w:p w14:paraId="49D502F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52.5 R)</w:t>
            </w:r>
          </w:p>
        </w:tc>
        <w:tc>
          <w:tcPr>
            <w:tcW w:w="935" w:type="dxa"/>
            <w:vAlign w:val="center"/>
          </w:tcPr>
          <w:p w14:paraId="0BDFF71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0.7</w:t>
            </w:r>
          </w:p>
        </w:tc>
        <w:tc>
          <w:tcPr>
            <w:tcW w:w="765" w:type="dxa"/>
            <w:vAlign w:val="center"/>
          </w:tcPr>
          <w:p w14:paraId="2A1788D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 (M)</w:t>
            </w:r>
          </w:p>
        </w:tc>
        <w:tc>
          <w:tcPr>
            <w:tcW w:w="1045" w:type="dxa"/>
            <w:vAlign w:val="center"/>
          </w:tcPr>
          <w:p w14:paraId="63E8BB1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Water </w:t>
            </w:r>
            <w:proofErr w:type="spellStart"/>
            <w:r w:rsidRPr="00704E49">
              <w:rPr>
                <w:rFonts w:ascii="Calibri" w:eastAsia="等线" w:hAnsi="Calibri" w:cs="Calibri"/>
                <w:sz w:val="14"/>
                <w:szCs w:val="14"/>
              </w:rPr>
              <w:t>immersion</w:t>
            </w:r>
            <w:proofErr w:type="spellEnd"/>
          </w:p>
        </w:tc>
        <w:tc>
          <w:tcPr>
            <w:tcW w:w="1103" w:type="dxa"/>
            <w:vAlign w:val="center"/>
          </w:tcPr>
          <w:p w14:paraId="725EB3F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w:t>
            </w:r>
          </w:p>
        </w:tc>
        <w:tc>
          <w:tcPr>
            <w:tcW w:w="1571" w:type="dxa"/>
            <w:vAlign w:val="center"/>
          </w:tcPr>
          <w:p w14:paraId="362B6E5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51</w:t>
            </w:r>
            <w:r w:rsidRPr="00704E49">
              <w:rPr>
                <w:rFonts w:ascii="Calibri" w:eastAsia="等线" w:hAnsi="Calibri" w:cs="Calibri"/>
                <w:sz w:val="14"/>
                <w:szCs w:val="14"/>
                <w:vertAlign w:val="superscript"/>
                <w:lang w:val="en-GB"/>
              </w:rPr>
              <w:t>28d</w:t>
            </w:r>
          </w:p>
          <w:p w14:paraId="3B35B90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(15 % reduction compared to reference mortar)</w:t>
            </w:r>
          </w:p>
        </w:tc>
        <w:tc>
          <w:tcPr>
            <w:tcW w:w="944" w:type="dxa"/>
            <w:vAlign w:val="center"/>
          </w:tcPr>
          <w:p w14:paraId="17083A2E" w14:textId="2EFDF1BB"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{"citationItems":[{"id":"ITEM-1","itemData":{"DOI":"10.1016/j.cemconcomp.2016.03.015","ISSN":"09589465","abstract":"Untreated municipal solid waste incineration (MSWI) bottom ash fines (0-2 mm) have poor pozzolanic properties, and contain substances which can pose an environmental risk (e.g. heavy metals and salts). This study investigates combined treatments applied on bottom ash fines (BAF) to increase their reactivity. The treated BAF is compared with both untreated BAF and cement, and its contribution to cement hydration is investigated. Additionally, the utilization of the treated BAF in mortar as cement replacement is tested. Finally, the leaching properties of mortars containing treated and untreated BAF are estimated. According to the results obtained, the 28-day compressive and flexural strengths of mortar with 30% treated bottom ash are about 16% and 6% lower than the reference mortar, respectively. The leaching of contaminants from the crushed mortars with BAF are well under the limit values imposed by Dutch legislation.","author":[{"dropping-particle":"","family":"Tang","given":"P","non-dropping-particle":"","parse-names":false,"suffix":""},{"dropping-particle":"","family":"Florea","given":"M V A","non-dropping-particle":"","parse-names":false,"suffix":""},{"dropping-particle":"","family":"Spiesz","given":"P","non-dropping-particle":"","parse-names":false,"suffix":""},{"dropping-particle":"","family":"Brouwers","given":"H J H","non-dropping-particle":"","parse-names":false,"suffix":""}],"container-title":"Cement and Concrete Composites","id":"ITEM-1","issued":{"date-parts":[["2016"]]},"page":"194-205","publisher":"Elsevier Ltd","title":"Application of thermally activated municipal solid waste incineration (MSWI) bottom ash fines as binder substitute","type":"article-journal","volume":"70"},"uris":["http://www.mendeley.com/documents/?uuid=0005e000-9b67-4026-9ca4-76e7ace71cfe"]}],"mendeley":{"formattedCitation":"(P Tang et al., 2016)","plainTextFormattedCitation":"(P Tang et al., 2016)","previouslyFormattedCitation":"(P Tang et al., 2016)"},"properties":{"noteIndex":0},"schema":"https://github.com/citation-style-language/schema/raw/master/csl-citation.json"}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(P Tang et al., 2016)</w:t>
            </w:r>
            <w:r w:rsidRPr="00704E49">
              <w:rPr>
                <w:rFonts w:ascii="Calibri" w:eastAsia="等线" w:hAnsi="Calibri" w:cs="Calibri"/>
                <w:sz w:val="14"/>
                <w:szCs w:val="14"/>
              </w:rPr>
              <w:fldChar w:fldCharType="end"/>
            </w:r>
          </w:p>
        </w:tc>
      </w:tr>
      <w:tr w:rsidR="00D76C75" w:rsidRPr="00704E49" w14:paraId="615D13E6" w14:textId="77777777" w:rsidTr="00AC0648">
        <w:trPr>
          <w:cnfStyle w:val="000000100000" w:firstRow="0" w:lastRow="0" w:firstColumn="0" w:lastColumn="0" w:oddVBand="0" w:evenVBand="0" w:oddHBand="1" w:evenHBand="0" w:firstRowFirstColumn="0" w:firstRowLastColumn="0" w:lastRowFirstColumn="0" w:lastRowLastColumn="0"/>
          <w:trHeight w:val="2050"/>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4A9367E2"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lastRenderedPageBreak/>
              <w:t>The Netherlands</w:t>
            </w:r>
          </w:p>
        </w:tc>
        <w:tc>
          <w:tcPr>
            <w:tcW w:w="1414" w:type="dxa"/>
            <w:vAlign w:val="center"/>
          </w:tcPr>
          <w:p w14:paraId="140517D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w:t>
            </w:r>
            <w:r w:rsidRPr="00704E49">
              <w:rPr>
                <w:rFonts w:ascii="Calibri" w:eastAsia="等线" w:hAnsi="Calibri" w:cs="Calibri"/>
                <w:sz w:val="14"/>
                <w:szCs w:val="14"/>
                <w:vertAlign w:val="subscript"/>
                <w:lang w:val="en-GB"/>
              </w:rPr>
              <w:t>50</w:t>
            </w:r>
            <w:r w:rsidRPr="00704E49">
              <w:rPr>
                <w:rFonts w:ascii="Calibri" w:eastAsia="等线" w:hAnsi="Calibri" w:cs="Calibri"/>
                <w:sz w:val="14"/>
                <w:szCs w:val="14"/>
                <w:lang w:val="en-GB"/>
              </w:rPr>
              <w:t xml:space="preserve"> = 39</w:t>
            </w:r>
          </w:p>
          <w:p w14:paraId="2270DC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(as - received material: &lt; 3 mm)</w:t>
            </w:r>
          </w:p>
        </w:tc>
        <w:tc>
          <w:tcPr>
            <w:tcW w:w="1085" w:type="dxa"/>
            <w:vAlign w:val="center"/>
          </w:tcPr>
          <w:p w14:paraId="5EC2B14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Arial"/>
                <w:sz w:val="14"/>
                <w:szCs w:val="14"/>
              </w:rPr>
            </w:pPr>
            <w:proofErr w:type="spellStart"/>
            <w:r w:rsidRPr="00704E49">
              <w:rPr>
                <w:rFonts w:ascii="Calibri" w:eastAsia="等线" w:hAnsi="Calibri" w:cs="Calibri"/>
                <w:sz w:val="14"/>
                <w:szCs w:val="14"/>
              </w:rPr>
              <w:t>Milled</w:t>
            </w:r>
            <w:proofErr w:type="spellEnd"/>
          </w:p>
        </w:tc>
        <w:tc>
          <w:tcPr>
            <w:tcW w:w="236" w:type="dxa"/>
            <w:tcBorders>
              <w:top w:val="nil"/>
              <w:bottom w:val="nil"/>
            </w:tcBorders>
            <w:vAlign w:val="center"/>
          </w:tcPr>
          <w:p w14:paraId="6E17D44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233849D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50.7</w:t>
            </w:r>
          </w:p>
        </w:tc>
        <w:tc>
          <w:tcPr>
            <w:tcW w:w="850" w:type="dxa"/>
            <w:gridSpan w:val="2"/>
            <w:tcBorders>
              <w:top w:val="single" w:sz="4" w:space="0" w:color="auto"/>
              <w:bottom w:val="single" w:sz="4" w:space="0" w:color="auto"/>
            </w:tcBorders>
            <w:vAlign w:val="center"/>
          </w:tcPr>
          <w:p w14:paraId="41759C0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12.9</w:t>
            </w:r>
          </w:p>
        </w:tc>
        <w:tc>
          <w:tcPr>
            <w:tcW w:w="567" w:type="dxa"/>
            <w:tcBorders>
              <w:top w:val="single" w:sz="4" w:space="0" w:color="auto"/>
              <w:left w:val="nil"/>
              <w:bottom w:val="single" w:sz="4" w:space="0" w:color="auto"/>
              <w:right w:val="nil"/>
            </w:tcBorders>
            <w:vAlign w:val="center"/>
          </w:tcPr>
          <w:p w14:paraId="57F00AC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9</w:t>
            </w:r>
          </w:p>
        </w:tc>
        <w:tc>
          <w:tcPr>
            <w:tcW w:w="284" w:type="dxa"/>
            <w:tcBorders>
              <w:top w:val="nil"/>
              <w:bottom w:val="nil"/>
            </w:tcBorders>
            <w:vAlign w:val="center"/>
          </w:tcPr>
          <w:p w14:paraId="2EDADB73"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1D218C1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w:t>
            </w:r>
          </w:p>
        </w:tc>
        <w:tc>
          <w:tcPr>
            <w:tcW w:w="762" w:type="dxa"/>
            <w:vAlign w:val="center"/>
          </w:tcPr>
          <w:p w14:paraId="2B091D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52.5 R and CEM I 42.5 N)</w:t>
            </w:r>
          </w:p>
        </w:tc>
        <w:tc>
          <w:tcPr>
            <w:tcW w:w="935" w:type="dxa"/>
            <w:vAlign w:val="center"/>
          </w:tcPr>
          <w:p w14:paraId="17B830A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0.5</w:t>
            </w:r>
          </w:p>
        </w:tc>
        <w:tc>
          <w:tcPr>
            <w:tcW w:w="765" w:type="dxa"/>
            <w:vAlign w:val="center"/>
          </w:tcPr>
          <w:p w14:paraId="1030706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 (M)</w:t>
            </w:r>
          </w:p>
        </w:tc>
        <w:tc>
          <w:tcPr>
            <w:tcW w:w="1045" w:type="dxa"/>
            <w:vAlign w:val="center"/>
          </w:tcPr>
          <w:p w14:paraId="2D542C0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1103" w:type="dxa"/>
            <w:vAlign w:val="center"/>
          </w:tcPr>
          <w:p w14:paraId="1129ECE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w:t>
            </w:r>
          </w:p>
        </w:tc>
        <w:tc>
          <w:tcPr>
            <w:tcW w:w="1571" w:type="dxa"/>
            <w:vAlign w:val="center"/>
          </w:tcPr>
          <w:p w14:paraId="1071092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decreased 7-11 % compared with reference mortar</w:t>
            </w:r>
          </w:p>
        </w:tc>
        <w:tc>
          <w:tcPr>
            <w:tcW w:w="944" w:type="dxa"/>
            <w:vAlign w:val="center"/>
          </w:tcPr>
          <w:p w14:paraId="5B798E83" w14:textId="7AEACDF9"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{"citationItems":[{"id":"ITEM-1","itemData":{"DOI":"10.1016/j.resconrec.2020.105354","ISSN":"18790658","abstract":"Increasing amounts of waste are incinerated every year; therefore, the amount of Municipal Solid Waste Incineration Bottom Ash (MSWI BA) also increases. At the same time, limited landfill space and the goal of achieving a circular economy dictate the search for MSWI BA applications. Large fractions are successfully used to replace aggregates in concrete, but the MSWI BA fraction &lt; 3 mm has several disadvantages, such as high porosity and high contamination that make its application as aggregate or cement replacement difficult. However, finding a tailored treatment can turn these fines into a potential filler material (Minor Additional Constituent, MAC, 5% w/w) in Portland cement. This paper investigates milled fines that were produced out of MSWI BA fines (0.125–3 mm) to match the size distribution of CEM I 52.5 R and CEM I 42.5 N. They are also compared to the untreated fines (&lt; 0.125 mm) from the same MSWI BA. The influence of milling on the fines was investigated by SEM (morphological analysis) and the leaching test to assess the potential environmental impact. Studied by isothermal calorimetry, the effect of the designed fines on cement hydration appears to be very small and the results for the mechanical performance of mortars show that all fines examined in the study might be considered as potential MACs.","author":[{"dropping-particle":"","family":"Loginova","given":"E","non-dropping-particle":"","parse-names":false,"suffix":""},{"dropping-particle":"","family":"Schollbach","given":"K","non-dropping-particle":"","parse-names":false,"suffix":""},{"dropping-particle":"","family":"Proskurnin","given":"M","non-dropping-particle":"","parse-names":false,"suffix":""},{"dropping-particle":"","family":"Brouwers","given":"H J H","non-dropping-particle":"","parse-names":false,"suffix":""}],"container-title":"Resources, Conservation and Recycling","id":"ITEM-1","issued":{"date-parts":[["2021"]]},"publisher":"Elsevier B.V.","title":"Municipal solid waste incineration bottom ash fines: Transformation into a minor additional constituent for cements","type":"article-journal","volume":"166"},"uris":["http://www.mendeley.com/documents/?uuid=807702fb-03d2-41a9-bee9-7ee6eb4de6f2"]}],"mendeley":{"formattedCitation":"(Loginova et al., 2021)","plainTextFormattedCitation":"(Loginova et al., 2021)","previouslyFormattedCitation":"(Loginova et al., 2021)"},"properties":{"noteIndex":0},"schema":"https://github.com/citation-style-language/schema/raw/master/csl-citation.json"}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(Loginova et al., 2021)</w:t>
            </w:r>
            <w:r w:rsidRPr="00704E49">
              <w:rPr>
                <w:rFonts w:ascii="Calibri" w:eastAsia="等线" w:hAnsi="Calibri" w:cs="Calibri"/>
                <w:sz w:val="14"/>
                <w:szCs w:val="14"/>
              </w:rPr>
              <w:fldChar w:fldCharType="end"/>
            </w:r>
          </w:p>
        </w:tc>
      </w:tr>
      <w:tr w:rsidR="00D76C75" w:rsidRPr="00704E49" w14:paraId="769E7250"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4AD1565D"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The Netherlands</w:t>
            </w:r>
          </w:p>
        </w:tc>
        <w:tc>
          <w:tcPr>
            <w:tcW w:w="1414" w:type="dxa"/>
            <w:vAlign w:val="center"/>
          </w:tcPr>
          <w:p w14:paraId="5BEB18A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24</w:t>
            </w:r>
          </w:p>
        </w:tc>
        <w:tc>
          <w:tcPr>
            <w:tcW w:w="1085" w:type="dxa"/>
            <w:vAlign w:val="center"/>
          </w:tcPr>
          <w:p w14:paraId="651CD97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Dry grinding + sieving+ water treatment (room temperature, 14 days, water to bottom ash ratio 0.4). The water treatment is included in the sample preparation process</w:t>
            </w:r>
          </w:p>
        </w:tc>
        <w:tc>
          <w:tcPr>
            <w:tcW w:w="236" w:type="dxa"/>
            <w:tcBorders>
              <w:top w:val="nil"/>
              <w:bottom w:val="nil"/>
            </w:tcBorders>
            <w:vAlign w:val="center"/>
          </w:tcPr>
          <w:p w14:paraId="1ECE8EA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75447FC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52.91</w:t>
            </w:r>
          </w:p>
        </w:tc>
        <w:tc>
          <w:tcPr>
            <w:tcW w:w="850" w:type="dxa"/>
            <w:gridSpan w:val="2"/>
            <w:tcBorders>
              <w:top w:val="single" w:sz="4" w:space="0" w:color="auto"/>
              <w:bottom w:val="single" w:sz="4" w:space="0" w:color="auto"/>
            </w:tcBorders>
            <w:vAlign w:val="center"/>
          </w:tcPr>
          <w:p w14:paraId="5FE5E11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13.44</w:t>
            </w:r>
          </w:p>
        </w:tc>
        <w:tc>
          <w:tcPr>
            <w:tcW w:w="567" w:type="dxa"/>
            <w:tcBorders>
              <w:top w:val="single" w:sz="4" w:space="0" w:color="auto"/>
              <w:left w:val="nil"/>
              <w:bottom w:val="single" w:sz="4" w:space="0" w:color="auto"/>
              <w:right w:val="nil"/>
            </w:tcBorders>
            <w:vAlign w:val="center"/>
          </w:tcPr>
          <w:p w14:paraId="10F8D80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10.18</w:t>
            </w:r>
          </w:p>
        </w:tc>
        <w:tc>
          <w:tcPr>
            <w:tcW w:w="284" w:type="dxa"/>
            <w:tcBorders>
              <w:top w:val="nil"/>
              <w:bottom w:val="nil"/>
            </w:tcBorders>
            <w:vAlign w:val="center"/>
          </w:tcPr>
          <w:p w14:paraId="3584E9AD"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470556D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w:t>
            </w:r>
          </w:p>
        </w:tc>
        <w:tc>
          <w:tcPr>
            <w:tcW w:w="762" w:type="dxa"/>
            <w:vAlign w:val="center"/>
          </w:tcPr>
          <w:p w14:paraId="32E1F49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52.5 R)</w:t>
            </w:r>
          </w:p>
        </w:tc>
        <w:tc>
          <w:tcPr>
            <w:tcW w:w="935" w:type="dxa"/>
            <w:vAlign w:val="center"/>
          </w:tcPr>
          <w:p w14:paraId="21700C7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0.4</w:t>
            </w:r>
          </w:p>
        </w:tc>
        <w:tc>
          <w:tcPr>
            <w:tcW w:w="765" w:type="dxa"/>
            <w:vAlign w:val="center"/>
          </w:tcPr>
          <w:p w14:paraId="629ABDA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656B28C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gramStart"/>
            <w:r w:rsidRPr="00704E49">
              <w:rPr>
                <w:rFonts w:ascii="Calibri" w:eastAsia="等线" w:hAnsi="Calibri" w:cs="Calibri"/>
                <w:sz w:val="14"/>
                <w:szCs w:val="14"/>
              </w:rPr>
              <w:t>20  C</w:t>
            </w:r>
            <w:proofErr w:type="gramEnd"/>
            <w:r w:rsidRPr="00704E49">
              <w:rPr>
                <w:rFonts w:ascii="Calibri" w:eastAsia="等线" w:hAnsi="Calibri" w:cs="Calibri"/>
                <w:sz w:val="14"/>
                <w:szCs w:val="14"/>
              </w:rPr>
              <w:t>, 99% RH</w:t>
            </w:r>
          </w:p>
        </w:tc>
        <w:tc>
          <w:tcPr>
            <w:tcW w:w="1103" w:type="dxa"/>
            <w:vAlign w:val="center"/>
          </w:tcPr>
          <w:p w14:paraId="5B093EF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20 × 20</w:t>
            </w:r>
          </w:p>
        </w:tc>
        <w:tc>
          <w:tcPr>
            <w:tcW w:w="1571" w:type="dxa"/>
            <w:vAlign w:val="center"/>
          </w:tcPr>
          <w:p w14:paraId="0CC0E17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90d: decreased 15 % compared with plain cement paste</w:t>
            </w:r>
          </w:p>
        </w:tc>
        <w:tc>
          <w:tcPr>
            <w:tcW w:w="944" w:type="dxa"/>
            <w:vAlign w:val="center"/>
          </w:tcPr>
          <w:p w14:paraId="5E978A38" w14:textId="35935A15"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{"citationItems":[{"id":"ITEM-1","itemData":{"DOI":"https://doi.org/10.1016/j.cemconres.2024.107440","ISSN":"0008-8846","abstract":"This research explored the microstructure formation and strength development of blended cement pastes prepared with municipal solid waste incineration (MSWI) bottom ash. A new sample preparation approach involving water treatment of MSWI bottom ash was developed to prevent sample cracking caused by the presence of metallic aluminum (Al) in bottom ash. The result showed that ions released during water treatment of MSWI bottom ash delayed cement hydration but promoted ettringite formation in blended cement pastes during the first day. Due to water treatment, the compressive strength of MSWI bottom ash blended cement paste increased to a level similar to that of Class F coal fly ash blended cement paste after 28 days. Blending water-treated MSWI bottom ash (WMBA) with cement promoted clinker hydration at later stages. The reaction products of WMBA in blended cement system were C-S-H gel and sodicgedrite, which contributed to strength development by filling the capillary pores.","author":[{"dropping-particle":"","family":"Chen","given":"Boyu","non-dropping-particle":"","parse-names":false,"suffix":""},{"dropping-particle":"","family":"Ye","given":"Guang","non-dropping-particle":"","parse-names":false,"suffix":""}],"container-title":"Cement and Concrete Research","id":"ITEM-1","issued":{"date-parts":[["2024"]]},"page":"107440","title":"The role of water-treated municipal solid waste incineration (MSWI) bottom ash in microstructure formation and strength development of blended cement pastes","type":"article-journal","volume":"178"},"uris":["http://www.mendeley.com/documents/?uuid=60744a38-0138-43fa-bef3-ba7a0ac0b891"]}],"mendeley":{"formattedCitation":"(B. Chen &amp; Ye, 2024)","plainTextFormattedCitation":"(B. Chen &amp; Ye, 2024)","previouslyFormattedCitation":"(B. Chen &amp; Ye, 2024)"},"properties":{"noteIndex":0},"schema":"https://github.com/citation-style-language/schema/raw/master/csl-citation.json"}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(B. Chen &amp; Ye, 2024)</w:t>
            </w:r>
            <w:r w:rsidRPr="00704E49">
              <w:rPr>
                <w:rFonts w:ascii="Calibri" w:eastAsia="等线" w:hAnsi="Calibri" w:cs="Calibri"/>
                <w:sz w:val="14"/>
                <w:szCs w:val="14"/>
              </w:rPr>
              <w:fldChar w:fldCharType="end"/>
            </w:r>
          </w:p>
        </w:tc>
      </w:tr>
      <w:tr w:rsidR="00D76C75" w:rsidRPr="00704E49" w14:paraId="65FD157D"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7945D73"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The Netherlands</w:t>
            </w:r>
          </w:p>
        </w:tc>
        <w:tc>
          <w:tcPr>
            <w:tcW w:w="1414" w:type="dxa"/>
            <w:vAlign w:val="center"/>
          </w:tcPr>
          <w:p w14:paraId="51D1DE5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63 (</w:t>
            </w:r>
            <w:proofErr w:type="spellStart"/>
            <w:r w:rsidRPr="00704E49">
              <w:rPr>
                <w:rFonts w:ascii="Calibri" w:eastAsia="等线" w:hAnsi="Calibri" w:cs="Calibri"/>
                <w:sz w:val="14"/>
                <w:szCs w:val="14"/>
              </w:rPr>
              <w:t>after</w:t>
            </w:r>
            <w:proofErr w:type="spellEnd"/>
            <w:r w:rsidRPr="00704E49">
              <w:rPr>
                <w:rFonts w:ascii="Calibri" w:eastAsia="等线" w:hAnsi="Calibri" w:cs="Calibri"/>
                <w:sz w:val="14"/>
                <w:szCs w:val="14"/>
              </w:rPr>
              <w:t xml:space="preserve"> treatment)</w:t>
            </w:r>
          </w:p>
        </w:tc>
        <w:tc>
          <w:tcPr>
            <w:tcW w:w="1085" w:type="dxa"/>
            <w:vAlign w:val="center"/>
          </w:tcPr>
          <w:p w14:paraId="7B4AA59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Ball </w:t>
            </w:r>
            <w:proofErr w:type="spellStart"/>
            <w:r w:rsidRPr="00704E49">
              <w:rPr>
                <w:rFonts w:ascii="Calibri" w:eastAsia="等线" w:hAnsi="Calibri" w:cs="Calibri"/>
                <w:sz w:val="14"/>
                <w:szCs w:val="14"/>
              </w:rPr>
              <w:t>milling</w:t>
            </w:r>
            <w:proofErr w:type="spell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sieving</w:t>
            </w:r>
            <w:proofErr w:type="spellEnd"/>
            <w:r w:rsidRPr="00704E49">
              <w:rPr>
                <w:rFonts w:ascii="Calibri" w:eastAsia="等线" w:hAnsi="Calibri" w:cs="Calibri"/>
                <w:sz w:val="14"/>
                <w:szCs w:val="14"/>
              </w:rPr>
              <w:t xml:space="preserve"> (metallic Al content: 0.13 </w:t>
            </w:r>
            <w:proofErr w:type="spellStart"/>
            <w:proofErr w:type="gramStart"/>
            <w:r w:rsidRPr="00704E49">
              <w:rPr>
                <w:rFonts w:ascii="Calibri" w:eastAsia="等线" w:hAnsi="Calibri" w:cs="Calibri"/>
                <w:sz w:val="14"/>
                <w:szCs w:val="14"/>
              </w:rPr>
              <w:t>wt</w:t>
            </w:r>
            <w:proofErr w:type="spellEnd"/>
            <w:r w:rsidRPr="00704E49">
              <w:rPr>
                <w:rFonts w:ascii="Calibri" w:eastAsia="等线" w:hAnsi="Calibri" w:cs="Calibri"/>
                <w:sz w:val="14"/>
                <w:szCs w:val="14"/>
              </w:rPr>
              <w:t>.%</w:t>
            </w:r>
            <w:proofErr w:type="gramEnd"/>
            <w:r w:rsidRPr="00704E49">
              <w:rPr>
                <w:rFonts w:ascii="Calibri" w:eastAsia="等线" w:hAnsi="Calibri" w:cs="Calibri"/>
                <w:sz w:val="14"/>
                <w:szCs w:val="14"/>
              </w:rPr>
              <w:t xml:space="preserve">) </w:t>
            </w:r>
          </w:p>
        </w:tc>
        <w:tc>
          <w:tcPr>
            <w:tcW w:w="236" w:type="dxa"/>
            <w:tcBorders>
              <w:top w:val="nil"/>
              <w:bottom w:val="nil"/>
            </w:tcBorders>
            <w:vAlign w:val="center"/>
          </w:tcPr>
          <w:p w14:paraId="79BF55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3C3AC3F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39.28</w:t>
            </w:r>
          </w:p>
        </w:tc>
        <w:tc>
          <w:tcPr>
            <w:tcW w:w="850" w:type="dxa"/>
            <w:gridSpan w:val="2"/>
            <w:tcBorders>
              <w:top w:val="single" w:sz="4" w:space="0" w:color="auto"/>
              <w:bottom w:val="single" w:sz="4" w:space="0" w:color="auto"/>
            </w:tcBorders>
            <w:vAlign w:val="center"/>
          </w:tcPr>
          <w:p w14:paraId="357C222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22.39</w:t>
            </w:r>
          </w:p>
        </w:tc>
        <w:tc>
          <w:tcPr>
            <w:tcW w:w="567" w:type="dxa"/>
            <w:tcBorders>
              <w:top w:val="single" w:sz="4" w:space="0" w:color="auto"/>
              <w:left w:val="nil"/>
              <w:bottom w:val="single" w:sz="4" w:space="0" w:color="auto"/>
              <w:right w:val="nil"/>
            </w:tcBorders>
            <w:vAlign w:val="center"/>
          </w:tcPr>
          <w:p w14:paraId="7637536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10.48</w:t>
            </w:r>
          </w:p>
        </w:tc>
        <w:tc>
          <w:tcPr>
            <w:tcW w:w="284" w:type="dxa"/>
            <w:tcBorders>
              <w:top w:val="nil"/>
              <w:bottom w:val="nil"/>
            </w:tcBorders>
            <w:vAlign w:val="center"/>
          </w:tcPr>
          <w:p w14:paraId="4387DF27"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4E88A65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30</w:t>
            </w:r>
          </w:p>
        </w:tc>
        <w:tc>
          <w:tcPr>
            <w:tcW w:w="762" w:type="dxa"/>
            <w:vAlign w:val="center"/>
          </w:tcPr>
          <w:p w14:paraId="6B6178B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52.5 N)</w:t>
            </w:r>
          </w:p>
        </w:tc>
        <w:tc>
          <w:tcPr>
            <w:tcW w:w="935" w:type="dxa"/>
            <w:vAlign w:val="center"/>
          </w:tcPr>
          <w:p w14:paraId="156212E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0.5</w:t>
            </w:r>
          </w:p>
        </w:tc>
        <w:tc>
          <w:tcPr>
            <w:tcW w:w="765" w:type="dxa"/>
            <w:vAlign w:val="center"/>
          </w:tcPr>
          <w:p w14:paraId="6E7AEC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1:3 (M)</w:t>
            </w:r>
          </w:p>
        </w:tc>
        <w:tc>
          <w:tcPr>
            <w:tcW w:w="1045" w:type="dxa"/>
            <w:vAlign w:val="center"/>
          </w:tcPr>
          <w:p w14:paraId="7CE1DEE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1 °C, 95 % RH</w:t>
            </w:r>
          </w:p>
        </w:tc>
        <w:tc>
          <w:tcPr>
            <w:tcW w:w="1103" w:type="dxa"/>
            <w:vAlign w:val="center"/>
          </w:tcPr>
          <w:p w14:paraId="0030301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w:t>
            </w:r>
          </w:p>
        </w:tc>
        <w:tc>
          <w:tcPr>
            <w:tcW w:w="1571" w:type="dxa"/>
            <w:vAlign w:val="center"/>
          </w:tcPr>
          <w:p w14:paraId="53B1877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decreased by 35.6% with 30% treated MSWI bottom ash.</w:t>
            </w:r>
          </w:p>
        </w:tc>
        <w:tc>
          <w:tcPr>
            <w:tcW w:w="944" w:type="dxa"/>
            <w:vAlign w:val="center"/>
          </w:tcPr>
          <w:p w14:paraId="5CA5F6E2" w14:textId="198327B2"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{"citationItems":[{"id":"ITEM-1","itemData":{"DOI":"https://doi.org/10.1016/j.conbuildmat.2024.135769","ISSN":"0950-0618","abstract":"With the development of waste recovery techniques, previous research has revealed that coarse fractions of municipal solid waste incineration (MSWI) bottom ash (BA) after proper treatment could be applied in the construction sector, while the fines are seldom recovered in practice and normally landfilled. This study explores the potential application of fine MSWI BA (0–2 mm) as a supplementary cementitious material (SCM) in Portland cement (PC) mixtures. Mechanical and chemical pre-treatment approaches have been designed with various conditions to optimize the treating process. The chemical and mineralogical compositions, as well as the metallic Al content in BA were characterized before and after the pre-treatment. It was found that both methods are effective in removing the metallic Al content in BA, Moreover, BA derived from mechanical treatment exhibited more contribution to the hydration reaction in PC mixtures, as revealed by the amount of reaction products and mineral phases formed in hardened trial mixtures. BA obtained was further partially blended in PC mortars to evaluate the performance as compared to SCMs and inert fillers. It was found that treated BA resulted in a slight retarding effect on the reaction kinetics. Treated BA behaved better than the coal fly ash to contribute to the strength development, while the inclusion of BA did not lead to significant influences on the workability.","author":[{"dropping-particle":"","family":"Sun","given":"Yubo","non-dropping-particle":"","parse-names":false,"suffix":""},{"dropping-particle":"","family":"Chen","given":"Boyu","non-dropping-particle":"","parse-names":false,"suffix":""},{"dropping-particle":"","family":"Zhang","given":"Shizhe","non-dropping-particle":"","parse-names":false,"suffix":""},{"dropping-particle":"","family":"Blom","given":"Kees","non-dropping-particle":"","parse-names":false,"suffix":""},{"dropping-particle":"","family":"Luković","given":"Mladena","non-dropping-particle":"","parse-names":false,"suffix":""},{"dropping-particle":"","family":"Ye","given":"Guang","non-dropping-particle":"","parse-names":false,"suffix":""}],"container-title":"Construction and Building Materials","id":"ITEM-1","issued":{"date-parts":[["2024"]]},"page":"135769","title":"Characterization, pre-treatment, and potential applications of fine MSWI bottom ash as a supplementary cementitious material","type":"article-journal","volume":"421"},"uris":["http://www.mendeley.com/documents/?uuid=d63d3c8a-4442-48d1-af62-a73195c59531"]}],"mendeley":{"formattedCitation":"(Sun et al., 2024)","plainTextFormattedCitation":"(Sun et al., 2024)","previouslyFormattedCitation":"(Sun et al., 2024)"},"properties":{"noteIndex":0},"schema":"https://github.com/citation-style-language/schema/raw/master/csl-citation.json"}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(Sun et al., 2024)</w:t>
            </w:r>
            <w:r w:rsidRPr="00704E49">
              <w:rPr>
                <w:rFonts w:ascii="Calibri" w:eastAsia="等线" w:hAnsi="Calibri" w:cs="Calibri"/>
                <w:sz w:val="14"/>
                <w:szCs w:val="14"/>
              </w:rPr>
              <w:fldChar w:fldCharType="end"/>
            </w:r>
          </w:p>
        </w:tc>
      </w:tr>
      <w:tr w:rsidR="00D76C75" w:rsidRPr="00704E49" w14:paraId="469A5968"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92E5100"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Portugal</w:t>
            </w:r>
          </w:p>
        </w:tc>
        <w:tc>
          <w:tcPr>
            <w:tcW w:w="1414" w:type="dxa"/>
            <w:vAlign w:val="center"/>
          </w:tcPr>
          <w:p w14:paraId="40E638C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Average</w:t>
            </w:r>
            <w:proofErr w:type="spellEnd"/>
            <w:r w:rsidRPr="00704E49">
              <w:rPr>
                <w:rFonts w:ascii="Calibri" w:eastAsia="等线" w:hAnsi="Calibri" w:cs="Calibri"/>
                <w:sz w:val="14"/>
                <w:szCs w:val="14"/>
              </w:rPr>
              <w:t>: 39</w:t>
            </w:r>
          </w:p>
        </w:tc>
        <w:tc>
          <w:tcPr>
            <w:tcW w:w="1085" w:type="dxa"/>
            <w:vAlign w:val="center"/>
          </w:tcPr>
          <w:p w14:paraId="5B1C101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236" w:type="dxa"/>
            <w:tcBorders>
              <w:top w:val="nil"/>
              <w:bottom w:val="nil"/>
            </w:tcBorders>
            <w:vAlign w:val="center"/>
          </w:tcPr>
          <w:p w14:paraId="5EA2233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0D2EAFA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51.84</w:t>
            </w:r>
          </w:p>
        </w:tc>
        <w:tc>
          <w:tcPr>
            <w:tcW w:w="850" w:type="dxa"/>
            <w:gridSpan w:val="2"/>
            <w:tcBorders>
              <w:top w:val="single" w:sz="4" w:space="0" w:color="auto"/>
              <w:bottom w:val="single" w:sz="4" w:space="0" w:color="auto"/>
            </w:tcBorders>
            <w:vAlign w:val="center"/>
          </w:tcPr>
          <w:p w14:paraId="53167BD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22.99</w:t>
            </w:r>
          </w:p>
        </w:tc>
        <w:tc>
          <w:tcPr>
            <w:tcW w:w="567" w:type="dxa"/>
            <w:tcBorders>
              <w:top w:val="single" w:sz="4" w:space="0" w:color="auto"/>
              <w:left w:val="nil"/>
              <w:bottom w:val="single" w:sz="4" w:space="0" w:color="auto"/>
              <w:right w:val="nil"/>
            </w:tcBorders>
            <w:vAlign w:val="center"/>
          </w:tcPr>
          <w:p w14:paraId="209A4BA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4.1</w:t>
            </w:r>
          </w:p>
        </w:tc>
        <w:tc>
          <w:tcPr>
            <w:tcW w:w="284" w:type="dxa"/>
            <w:tcBorders>
              <w:top w:val="nil"/>
              <w:bottom w:val="nil"/>
            </w:tcBorders>
            <w:vAlign w:val="center"/>
          </w:tcPr>
          <w:p w14:paraId="5A548634"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77AD587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w:t>
            </w:r>
          </w:p>
        </w:tc>
        <w:tc>
          <w:tcPr>
            <w:tcW w:w="762" w:type="dxa"/>
            <w:vAlign w:val="center"/>
          </w:tcPr>
          <w:p w14:paraId="5028F7A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 xml:space="preserve">Portland cement (CEM I </w:t>
            </w:r>
            <w:r w:rsidRPr="00704E49">
              <w:rPr>
                <w:rFonts w:ascii="Calibri" w:eastAsia="等线" w:hAnsi="Calibri" w:cs="Calibri"/>
                <w:sz w:val="14"/>
                <w:szCs w:val="14"/>
                <w:lang w:val="en-GB"/>
              </w:rPr>
              <w:lastRenderedPageBreak/>
              <w:t>42.5 R) and coal fly ash</w:t>
            </w:r>
          </w:p>
        </w:tc>
        <w:tc>
          <w:tcPr>
            <w:tcW w:w="935" w:type="dxa"/>
            <w:vAlign w:val="center"/>
          </w:tcPr>
          <w:p w14:paraId="4EB16A5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lastRenderedPageBreak/>
              <w:t>0.72</w:t>
            </w:r>
          </w:p>
          <w:p w14:paraId="0749F0B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water</w:t>
            </w:r>
            <w:proofErr w:type="gram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reducer</w:t>
            </w:r>
            <w:proofErr w:type="spellEnd"/>
            <w:r w:rsidRPr="00704E49">
              <w:rPr>
                <w:rFonts w:ascii="Calibri" w:eastAsia="等线" w:hAnsi="Calibri" w:cs="Calibri"/>
                <w:sz w:val="14"/>
                <w:szCs w:val="14"/>
              </w:rPr>
              <w:t>)</w:t>
            </w:r>
          </w:p>
        </w:tc>
        <w:tc>
          <w:tcPr>
            <w:tcW w:w="765" w:type="dxa"/>
            <w:vAlign w:val="center"/>
          </w:tcPr>
          <w:p w14:paraId="3AA547A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C</w:t>
            </w:r>
          </w:p>
        </w:tc>
        <w:tc>
          <w:tcPr>
            <w:tcW w:w="1045" w:type="dxa"/>
            <w:vAlign w:val="center"/>
          </w:tcPr>
          <w:p w14:paraId="71BB501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20 ± 2 °C, 50 ± 5 % RH</w:t>
            </w:r>
          </w:p>
        </w:tc>
        <w:tc>
          <w:tcPr>
            <w:tcW w:w="1103" w:type="dxa"/>
            <w:vAlign w:val="center"/>
          </w:tcPr>
          <w:p w14:paraId="39FDAFC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150 × 150 × 150 </w:t>
            </w:r>
          </w:p>
        </w:tc>
        <w:tc>
          <w:tcPr>
            <w:tcW w:w="1571" w:type="dxa"/>
            <w:vAlign w:val="center"/>
          </w:tcPr>
          <w:p w14:paraId="544CF1C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Decreased compared with reference concrete</w:t>
            </w:r>
          </w:p>
        </w:tc>
        <w:tc>
          <w:tcPr>
            <w:tcW w:w="944" w:type="dxa"/>
            <w:vAlign w:val="center"/>
          </w:tcPr>
          <w:p w14:paraId="26E5527D" w14:textId="232FE253"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{"citationItems":[{"id":"ITEM-1","itemData":{"DOI":"10.3390/app11010107","ISSN":"20763417","abstract":"This study aims to evaluate the potential of incorporating fly ash (FA) and municipal solid waste incinerator bottom ash (MIBA) as a partial substitute of cement in the production of self-compacting concrete mixes through an experimental campaign in which four replacement levels (i.e., 10% FA + 20% MIBA, 20% FA + 10% MIBA, 20% FA + 40% MIBA and 40% FA + 20% MIBA, apart from the reference concrete) were considered. Compressive and tensile strengths, Young’s modulus, ultra-sonic pulse velocity, shrinkage, water absorption by immersion, chloride diffusion coefficient and electrical resistivity were evaluated for all concrete mixes. The results showed a considerable decline in both mechanical and durability-related performances of self-compacting concrete with 60% of substitution by MIBA mainly due to the aluminium corrosion chemical reaction. However, workability properties were not significantly affected, exhibiting values similar to those of the control mix.","author":[{"dropping-particle":"","family":"Simões","given":"B","non-dropping-particle":"","parse-names":false,"suffix":""},{"dropping-particle":"","family":"Silva","given":"P R","non-dropping-particle":"da","parse-names":false,"suffix":""},{"dropping-particle":"V","family":"Silva","given":"R","non-dropping-particle":"","parse-names":false,"suffix":""},{"dropping-particle":"","family":"Avila","given":"Y","non-dropping-particle":"","parse-names":false,"suffix":""},{"dropping-particle":"","family":"Forero","given":"J A","non-dropping-particle":"","parse-names":false,"suffix":""}],"container-title":"Applied Sciences (Switzerland)","id":"ITEM-1","issue":"1","issued":{"date-parts":[["2021"]]},"page":"1-17","publisher":"MDPI AG","title":"Ternary mixes of self-compacting concrete with fly ash and municipal solid waste incinerator bottom ash","type":"article-journal","volume":"11"},"uris":["http://www.mendeley.com/documents/?uuid=f8910ddb-b181-4435-8eb1-6f49372a58bd"]}],"mendeley":{"formattedCitation":"(Simões et al., 2021)","plainTextFormattedCitation":"(Simões et al., 2021)","previouslyFormattedCitation":"(Simões et al., 2021)"},"properties":{"noteIndex":0},"schema":"https://github.com/citation-style-language/schema/raw/master/csl-citation.json"}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(Simões et al., 2021)</w:t>
            </w:r>
            <w:r w:rsidRPr="00704E49">
              <w:rPr>
                <w:rFonts w:ascii="Calibri" w:eastAsia="等线" w:hAnsi="Calibri" w:cs="Calibri"/>
                <w:sz w:val="14"/>
                <w:szCs w:val="14"/>
              </w:rPr>
              <w:fldChar w:fldCharType="end"/>
            </w:r>
          </w:p>
        </w:tc>
      </w:tr>
      <w:tr w:rsidR="00D76C75" w:rsidRPr="00704E49" w14:paraId="426FEAA0" w14:textId="77777777" w:rsidTr="00AC0648">
        <w:trPr>
          <w:cnfStyle w:val="000000100000" w:firstRow="0" w:lastRow="0" w:firstColumn="0" w:lastColumn="0" w:oddVBand="0" w:evenVBand="0" w:oddHBand="1"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hideMark/>
          </w:tcPr>
          <w:p w14:paraId="2A64B603" w14:textId="77777777" w:rsidR="00D76C75" w:rsidRPr="00704E49" w:rsidRDefault="00D76C75" w:rsidP="00D76C75">
            <w:pPr>
              <w:widowControl/>
              <w:jc w:val="center"/>
              <w:rPr>
                <w:rFonts w:ascii="Calibri" w:eastAsia="等线" w:hAnsi="Calibri" w:cs="Calibri"/>
                <w:sz w:val="14"/>
                <w:szCs w:val="14"/>
              </w:rPr>
            </w:pPr>
            <w:bookmarkStart w:id="9" w:name="_Hlk74835261"/>
            <w:r w:rsidRPr="00704E49">
              <w:rPr>
                <w:rFonts w:ascii="Calibri" w:eastAsia="等线" w:hAnsi="Calibri" w:cs="Calibri"/>
                <w:sz w:val="14"/>
                <w:szCs w:val="14"/>
              </w:rPr>
              <w:t>Slovenia</w:t>
            </w:r>
          </w:p>
        </w:tc>
        <w:tc>
          <w:tcPr>
            <w:tcW w:w="1414" w:type="dxa"/>
            <w:vAlign w:val="center"/>
            <w:hideMark/>
          </w:tcPr>
          <w:p w14:paraId="74A752A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90</w:t>
            </w:r>
          </w:p>
          <w:p w14:paraId="521AA80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 xml:space="preserve"> - </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xml:space="preserve">: 1 </w:t>
            </w:r>
            <w:proofErr w:type="spellStart"/>
            <w:r w:rsidRPr="00704E49">
              <w:rPr>
                <w:rFonts w:ascii="Calibri" w:eastAsia="等线" w:hAnsi="Calibri" w:cs="Calibri"/>
                <w:sz w:val="14"/>
                <w:szCs w:val="14"/>
              </w:rPr>
              <w:t>to</w:t>
            </w:r>
            <w:proofErr w:type="spellEnd"/>
            <w:r w:rsidRPr="00704E49">
              <w:rPr>
                <w:rFonts w:ascii="Calibri" w:eastAsia="等线" w:hAnsi="Calibri" w:cs="Calibri"/>
                <w:sz w:val="14"/>
                <w:szCs w:val="14"/>
              </w:rPr>
              <w:t xml:space="preserve"> 200 mm)</w:t>
            </w:r>
          </w:p>
        </w:tc>
        <w:tc>
          <w:tcPr>
            <w:tcW w:w="1085" w:type="dxa"/>
            <w:vAlign w:val="center"/>
            <w:hideMark/>
          </w:tcPr>
          <w:p w14:paraId="63AD335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Ball </w:t>
            </w:r>
            <w:proofErr w:type="spellStart"/>
            <w:r w:rsidRPr="00704E49">
              <w:rPr>
                <w:rFonts w:ascii="Calibri" w:eastAsia="等线" w:hAnsi="Calibri" w:cs="Calibri"/>
                <w:sz w:val="14"/>
                <w:szCs w:val="14"/>
              </w:rPr>
              <w:t>milled</w:t>
            </w:r>
            <w:proofErr w:type="spellEnd"/>
          </w:p>
        </w:tc>
        <w:tc>
          <w:tcPr>
            <w:tcW w:w="236" w:type="dxa"/>
            <w:tcBorders>
              <w:top w:val="nil"/>
              <w:bottom w:val="nil"/>
            </w:tcBorders>
            <w:vAlign w:val="center"/>
          </w:tcPr>
          <w:p w14:paraId="0696804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hideMark/>
          </w:tcPr>
          <w:p w14:paraId="56C49D3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24</w:t>
            </w:r>
          </w:p>
        </w:tc>
        <w:tc>
          <w:tcPr>
            <w:tcW w:w="850" w:type="dxa"/>
            <w:gridSpan w:val="2"/>
            <w:tcBorders>
              <w:top w:val="single" w:sz="4" w:space="0" w:color="auto"/>
              <w:bottom w:val="single" w:sz="4" w:space="0" w:color="auto"/>
            </w:tcBorders>
            <w:vAlign w:val="center"/>
            <w:hideMark/>
          </w:tcPr>
          <w:p w14:paraId="4FD0AE0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39</w:t>
            </w:r>
          </w:p>
        </w:tc>
        <w:tc>
          <w:tcPr>
            <w:tcW w:w="567" w:type="dxa"/>
            <w:tcBorders>
              <w:top w:val="single" w:sz="4" w:space="0" w:color="auto"/>
              <w:left w:val="nil"/>
              <w:bottom w:val="single" w:sz="4" w:space="0" w:color="auto"/>
              <w:right w:val="nil"/>
            </w:tcBorders>
            <w:vAlign w:val="center"/>
          </w:tcPr>
          <w:p w14:paraId="13B2562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14.8</w:t>
            </w:r>
          </w:p>
        </w:tc>
        <w:tc>
          <w:tcPr>
            <w:tcW w:w="284" w:type="dxa"/>
            <w:tcBorders>
              <w:top w:val="nil"/>
              <w:bottom w:val="nil"/>
            </w:tcBorders>
            <w:vAlign w:val="center"/>
          </w:tcPr>
          <w:p w14:paraId="3BA10FA8"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hideMark/>
          </w:tcPr>
          <w:p w14:paraId="2CE27DE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w:t>
            </w:r>
          </w:p>
        </w:tc>
        <w:tc>
          <w:tcPr>
            <w:tcW w:w="762" w:type="dxa"/>
            <w:vAlign w:val="center"/>
            <w:hideMark/>
          </w:tcPr>
          <w:p w14:paraId="08056AB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Portland cement (CEM I 42.5 R)</w:t>
            </w:r>
          </w:p>
        </w:tc>
        <w:tc>
          <w:tcPr>
            <w:tcW w:w="935" w:type="dxa"/>
            <w:vAlign w:val="center"/>
            <w:hideMark/>
          </w:tcPr>
          <w:p w14:paraId="52DB360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0.5</w:t>
            </w:r>
          </w:p>
        </w:tc>
        <w:tc>
          <w:tcPr>
            <w:tcW w:w="765" w:type="dxa"/>
            <w:vAlign w:val="center"/>
            <w:hideMark/>
          </w:tcPr>
          <w:p w14:paraId="3EB5BFE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Arial"/>
                <w:sz w:val="14"/>
                <w:szCs w:val="14"/>
              </w:rPr>
              <w:t>1:3 (M)</w:t>
            </w:r>
          </w:p>
        </w:tc>
        <w:tc>
          <w:tcPr>
            <w:tcW w:w="1045" w:type="dxa"/>
            <w:vAlign w:val="center"/>
            <w:hideMark/>
          </w:tcPr>
          <w:p w14:paraId="5D8FF4A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22 ± </w:t>
            </w:r>
            <w:proofErr w:type="gramStart"/>
            <w:r w:rsidRPr="00704E49">
              <w:rPr>
                <w:rFonts w:ascii="Calibri" w:eastAsia="等线" w:hAnsi="Calibri" w:cs="Calibri"/>
                <w:sz w:val="14"/>
                <w:szCs w:val="14"/>
              </w:rPr>
              <w:t>2  C</w:t>
            </w:r>
            <w:proofErr w:type="gramEnd"/>
            <w:r w:rsidRPr="00704E49">
              <w:rPr>
                <w:rFonts w:ascii="Calibri" w:eastAsia="等线" w:hAnsi="Calibri" w:cs="Calibri"/>
                <w:sz w:val="14"/>
                <w:szCs w:val="14"/>
              </w:rPr>
              <w:t>, 100% RH</w:t>
            </w:r>
          </w:p>
        </w:tc>
        <w:tc>
          <w:tcPr>
            <w:tcW w:w="1103" w:type="dxa"/>
            <w:vAlign w:val="center"/>
            <w:hideMark/>
          </w:tcPr>
          <w:p w14:paraId="76AAA96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 × 40 × 160</w:t>
            </w:r>
          </w:p>
        </w:tc>
        <w:tc>
          <w:tcPr>
            <w:tcW w:w="1571" w:type="dxa"/>
            <w:vAlign w:val="center"/>
            <w:hideMark/>
          </w:tcPr>
          <w:p w14:paraId="0C31A75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28d: decreased compared with OPC mortar</w:t>
            </w:r>
          </w:p>
        </w:tc>
        <w:tc>
          <w:tcPr>
            <w:tcW w:w="944" w:type="dxa"/>
            <w:vAlign w:val="center"/>
            <w:hideMark/>
          </w:tcPr>
          <w:p w14:paraId="67EE779F" w14:textId="150458FB"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 xml:space="preserve">ADDIN CSL_CITATION {"citationItems":[{"id":"ITEM-1","itemData":{"DOI":"10.1016/j.wasman.2005.10.016","ISSN":"0956053X","PMID":"16448812","abstract":"In the combustion process of municipal solid waste (MSW), bottom ash (BA) represents the major portion of the solid residue. Since BA is composed of oxides, especially SiO2 and CaO, the feasibility of its application in concrete as a substitute for cement was tested. It was found that at the age of 28 days, the flexural and compressive strengths of the binder linearly decrease at the rate of 0.03 and 0.02 MPa per wt% of BA in the binder, respectively. According to the results it may be recommended to replace up to 15 wt% of cement by BA and to use such binder where a low strength of concrete elements is required. Furthermore, the aggregate used for low strength concrete need not be of a very good quality. Therefore, gravel aggregate was partially replaced by recycled aggregate (RA). Consistency measured by slump was significantly reduced (&gt;50%) when BA or/and RA were introduced into the mixture. However, concrete density and compressive strength were not affected and were </w:instrText>
            </w:r>
            <w:r w:rsidR="005E7D08" w:rsidRPr="00704E49">
              <w:rPr>
                <w:rFonts w:ascii="Cambria Math" w:eastAsia="等线" w:hAnsi="Cambria Math" w:cs="Cambria Math"/>
                <w:sz w:val="14"/>
                <w:szCs w:val="14"/>
              </w:rPr>
              <w:instrText>∼</w:instrText>
            </w:r>
            <w:r w:rsidR="005E7D08" w:rsidRPr="00704E49">
              <w:rPr>
                <w:rFonts w:ascii="Calibri" w:eastAsia="等线" w:hAnsi="Calibri" w:cs="Calibri"/>
                <w:sz w:val="14"/>
                <w:szCs w:val="14"/>
              </w:rPr>
              <w:instrText xml:space="preserve">2300 kg/m3 and </w:instrText>
            </w:r>
            <w:r w:rsidR="005E7D08" w:rsidRPr="00704E49">
              <w:rPr>
                <w:rFonts w:ascii="Cambria Math" w:eastAsia="等线" w:hAnsi="Cambria Math" w:cs="Cambria Math"/>
                <w:sz w:val="14"/>
                <w:szCs w:val="14"/>
              </w:rPr>
              <w:instrText>∼</w:instrText>
            </w:r>
            <w:r w:rsidR="005E7D08" w:rsidRPr="00704E49">
              <w:rPr>
                <w:rFonts w:ascii="Calibri" w:eastAsia="等线" w:hAnsi="Calibri" w:cs="Calibri"/>
                <w:sz w:val="14"/>
                <w:szCs w:val="14"/>
              </w:rPr>
              <w:instrText>40 MPa, respectively. © 2005 Elsevier Ltd. All rights reserved.","author":[{"dropping-particle":"","family":"Jurič","given":"B","non-dropping-particle":"","parse-names":false,"suffix":""},{"dropping-particle":"","family":"Hanžič","given":"L","non-dropping-particle":"","parse-names":false,"suffix":""},{"dropping-particle":"","family":"Ilić","given":"R","non-dropping-particle":"","parse-names":false,"suffix":""},{"dropping-particle":"","family":"Samec","given":"N","non-dropping-particle":"","parse-names":false,"suffix":""}],"container-title":"Waste Management","id":"ITEM-1","issue":"12","issued":{"date-parts":[["2006"]]},"page":"1436-1442","title":"Utilization of municipal solid waste bottom ash and recycled aggregate in concrete","type":"article-journal","volume":"26"},"uris":["http://www.mendeley.com/documents/?uuid=749862ad-c07a-44d5-95f8-5c3b37755976"]}],"mendeley":{"formattedCitation":"(Jurič et al., 2006)","plainTextFormattedCitation":"(Jurič et al., 2006)","previouslyFormattedCitation":"(Jurič et al., 2006)"},"properties":{"noteIndex":0},"schema":"https://github.com/citation-style-language/schema/raw/master/csl-citation.json"}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(Jurič et al., 2006)</w:t>
            </w:r>
            <w:r w:rsidRPr="00704E49">
              <w:rPr>
                <w:rFonts w:ascii="Calibri" w:eastAsia="等线" w:hAnsi="Calibri" w:cs="Calibri"/>
                <w:sz w:val="14"/>
                <w:szCs w:val="14"/>
              </w:rPr>
              <w:fldChar w:fldCharType="end"/>
            </w:r>
          </w:p>
        </w:tc>
      </w:tr>
      <w:bookmarkEnd w:id="9"/>
      <w:tr w:rsidR="00D76C75" w:rsidRPr="00704E49" w14:paraId="2037964D" w14:textId="77777777" w:rsidTr="00AC0648">
        <w:trPr>
          <w:trHeight w:val="1090"/>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5A88CA20"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Taiwan</w:t>
            </w:r>
          </w:p>
        </w:tc>
        <w:tc>
          <w:tcPr>
            <w:tcW w:w="1414" w:type="dxa"/>
            <w:vAlign w:val="center"/>
          </w:tcPr>
          <w:p w14:paraId="4CBF0AD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75</w:t>
            </w:r>
          </w:p>
        </w:tc>
        <w:tc>
          <w:tcPr>
            <w:tcW w:w="1085" w:type="dxa"/>
            <w:vAlign w:val="center"/>
          </w:tcPr>
          <w:p w14:paraId="580F8C1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Thermal treated (1400 °C, vitrification) + Ball milled</w:t>
            </w:r>
          </w:p>
        </w:tc>
        <w:tc>
          <w:tcPr>
            <w:tcW w:w="236" w:type="dxa"/>
            <w:tcBorders>
              <w:top w:val="nil"/>
              <w:bottom w:val="nil"/>
            </w:tcBorders>
            <w:vAlign w:val="center"/>
          </w:tcPr>
          <w:p w14:paraId="677DE16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633C720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25.6</w:t>
            </w:r>
          </w:p>
        </w:tc>
        <w:tc>
          <w:tcPr>
            <w:tcW w:w="850" w:type="dxa"/>
            <w:gridSpan w:val="2"/>
            <w:tcBorders>
              <w:top w:val="single" w:sz="4" w:space="0" w:color="auto"/>
              <w:bottom w:val="single" w:sz="4" w:space="0" w:color="auto"/>
            </w:tcBorders>
            <w:vAlign w:val="center"/>
          </w:tcPr>
          <w:p w14:paraId="20F0237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26.1</w:t>
            </w:r>
          </w:p>
        </w:tc>
        <w:tc>
          <w:tcPr>
            <w:tcW w:w="567" w:type="dxa"/>
            <w:tcBorders>
              <w:top w:val="single" w:sz="4" w:space="0" w:color="auto"/>
              <w:left w:val="nil"/>
              <w:bottom w:val="single" w:sz="4" w:space="0" w:color="auto"/>
              <w:right w:val="nil"/>
            </w:tcBorders>
            <w:vAlign w:val="center"/>
          </w:tcPr>
          <w:p w14:paraId="378D04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6.33</w:t>
            </w:r>
          </w:p>
        </w:tc>
        <w:tc>
          <w:tcPr>
            <w:tcW w:w="284" w:type="dxa"/>
            <w:tcBorders>
              <w:top w:val="nil"/>
              <w:bottom w:val="nil"/>
            </w:tcBorders>
            <w:vAlign w:val="center"/>
          </w:tcPr>
          <w:p w14:paraId="380439D1"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152AE8B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w:t>
            </w:r>
          </w:p>
        </w:tc>
        <w:tc>
          <w:tcPr>
            <w:tcW w:w="762" w:type="dxa"/>
            <w:vAlign w:val="center"/>
          </w:tcPr>
          <w:p w14:paraId="2A2E432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 (type I)</w:t>
            </w:r>
          </w:p>
        </w:tc>
        <w:tc>
          <w:tcPr>
            <w:tcW w:w="935" w:type="dxa"/>
            <w:vAlign w:val="center"/>
          </w:tcPr>
          <w:p w14:paraId="4BD3932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0.38</w:t>
            </w:r>
          </w:p>
        </w:tc>
        <w:tc>
          <w:tcPr>
            <w:tcW w:w="765" w:type="dxa"/>
            <w:vAlign w:val="center"/>
          </w:tcPr>
          <w:p w14:paraId="0EC1F4E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41DDD7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 °C, &gt; 98 % RH</w:t>
            </w:r>
          </w:p>
        </w:tc>
        <w:tc>
          <w:tcPr>
            <w:tcW w:w="1103" w:type="dxa"/>
            <w:vAlign w:val="center"/>
          </w:tcPr>
          <w:p w14:paraId="76ADAE8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Rectangular</w:t>
            </w:r>
            <w:proofErr w:type="spellEnd"/>
          </w:p>
        </w:tc>
        <w:tc>
          <w:tcPr>
            <w:tcW w:w="1571" w:type="dxa"/>
            <w:vAlign w:val="center"/>
          </w:tcPr>
          <w:p w14:paraId="000DCBC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21</w:t>
            </w:r>
            <w:r w:rsidRPr="00704E49">
              <w:rPr>
                <w:rFonts w:ascii="Calibri" w:eastAsia="等线" w:hAnsi="Calibri" w:cs="Calibri"/>
                <w:sz w:val="14"/>
                <w:szCs w:val="14"/>
                <w:vertAlign w:val="superscript"/>
                <w:lang w:val="en-GB"/>
              </w:rPr>
              <w:t>7d</w:t>
            </w:r>
            <w:r w:rsidRPr="00704E49">
              <w:rPr>
                <w:rFonts w:ascii="Calibri" w:eastAsia="等线" w:hAnsi="Calibri" w:cs="Calibri"/>
                <w:sz w:val="14"/>
                <w:szCs w:val="14"/>
                <w:lang w:val="en-GB"/>
              </w:rPr>
              <w:t>, 38</w:t>
            </w:r>
            <w:r w:rsidRPr="00704E49">
              <w:rPr>
                <w:rFonts w:ascii="Calibri" w:eastAsia="等线" w:hAnsi="Calibri" w:cs="Calibri"/>
                <w:sz w:val="14"/>
                <w:szCs w:val="14"/>
                <w:vertAlign w:val="superscript"/>
                <w:lang w:val="en-GB"/>
              </w:rPr>
              <w:t>28d</w:t>
            </w:r>
            <w:r w:rsidRPr="00704E49">
              <w:rPr>
                <w:rFonts w:ascii="Calibri" w:eastAsia="等线" w:hAnsi="Calibri" w:cs="Calibri"/>
                <w:sz w:val="14"/>
                <w:szCs w:val="14"/>
                <w:lang w:val="en-GB"/>
              </w:rPr>
              <w:t>, 50</w:t>
            </w:r>
            <w:r w:rsidRPr="00704E49">
              <w:rPr>
                <w:rFonts w:ascii="Calibri" w:eastAsia="等线" w:hAnsi="Calibri" w:cs="Calibri"/>
                <w:sz w:val="14"/>
                <w:szCs w:val="14"/>
                <w:vertAlign w:val="superscript"/>
                <w:lang w:val="en-GB"/>
              </w:rPr>
              <w:t>90d</w:t>
            </w:r>
          </w:p>
          <w:p w14:paraId="2C4EB36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(decreased 42 %, 19 %, and 10 %, respectively, compared with OPC)</w:t>
            </w:r>
          </w:p>
        </w:tc>
        <w:tc>
          <w:tcPr>
            <w:tcW w:w="944" w:type="dxa"/>
            <w:vAlign w:val="center"/>
          </w:tcPr>
          <w:p w14:paraId="62458621" w14:textId="4A83D3FD"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{"citationItems":[{"id":"ITEM-1","itemData":{"DOI":"10.1016/j.cemconcomp.2006.03.003","ISSN":"09589465","abstract":"This study investigated the pozzolonic reactions and engineering properties of municipal solid waste incinerator (MSWI) bottom ash slag blended cements (SBC) with various replacement ratios. The 90-day compressive strengths developed by SBC pastes with 10% and 20% cement replacement by slags generated from the bottom ash were similar to that developed by ordinary Portland cement pastes. Thermal analyses indicated that the hydrates in the SBC pastes were mainly portlandite (Ca(OH)2) and calcium silicate hydrate (C-S-H) gels, similar to those found in ordinary Portland cement paste. It is also indicated that the slag reacted with Ca(OH)2 to form C-S-H. The average length (in terms of the number of Si molecules) of linear polysilicate anions in C-S-H gel, as determined by 29Si nuclear magnetic resonance, increased in all the SBC pastes with increasing curing age, which outperformed that of ordinary Portland cement at 90 days. It can thus be concluded from the study results, that municipal solid waste incinerator bottom ash can be processed by melting to obtain reactive pozzolanic slag, which may be used in SBC to partially replace the cement. © 2006 Elsevier Ltd. All rights reserved.","author":[{"dropping-particle":"","family":"Lin","given":"K L","non-dropping-particle":"","parse-names":false,"suffix":""},{"dropping-particle":"","family":"Lin","given":"D F","non-dropping-particle":"","parse-names":false,"suffix":""}],"container-title":"Cement and Concrete Composites","id":"ITEM-1","issue":"9","issued":{"date-parts":[["2006"]]},"page":"817-823","title":"Hydration characteristics of municipal solid waste incinerator bottom ash slag as a pozzolanic material for use in cement","type":"article-journal","volume":"28"},"uris":["http://www.mendeley.com/documents/?uuid=a2aeb778-8350-4c2c-83de-556baba042f7"]}],"mendeley":{"formattedCitation":"(Lin &amp; Lin, 2006)","plainTextFormattedCitation":"(Lin &amp; Lin, 2006)","previouslyFormattedCitation":"(Lin &amp; Lin, 2006)"},"properties":{"noteIndex":0},"schema":"https://github.com/citation-style-language/schema/raw/master/csl-citation.json"}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(Lin &amp; Lin, 2006)</w:t>
            </w:r>
            <w:r w:rsidRPr="00704E49">
              <w:rPr>
                <w:rFonts w:ascii="Calibri" w:eastAsia="等线" w:hAnsi="Calibri" w:cs="Calibri"/>
                <w:sz w:val="14"/>
                <w:szCs w:val="14"/>
              </w:rPr>
              <w:fldChar w:fldCharType="end"/>
            </w:r>
          </w:p>
        </w:tc>
      </w:tr>
      <w:tr w:rsidR="00D76C75" w:rsidRPr="00704E49" w14:paraId="3DCE6321" w14:textId="77777777" w:rsidTr="00AC0648">
        <w:trPr>
          <w:cnfStyle w:val="000000100000" w:firstRow="0" w:lastRow="0" w:firstColumn="0" w:lastColumn="0" w:oddVBand="0" w:evenVBand="0" w:oddHBand="1" w:evenHBand="0" w:firstRowFirstColumn="0" w:firstRowLastColumn="0" w:lastRowFirstColumn="0" w:lastRowLastColumn="0"/>
          <w:trHeight w:val="978"/>
          <w:jc w:val="center"/>
        </w:trPr>
        <w:tc>
          <w:tcPr>
            <w:cnfStyle w:val="001000000000" w:firstRow="0" w:lastRow="0" w:firstColumn="1" w:lastColumn="0" w:oddVBand="0" w:evenVBand="0" w:oddHBand="0" w:evenHBand="0" w:firstRowFirstColumn="0" w:firstRowLastColumn="0" w:lastRowFirstColumn="0" w:lastRowLastColumn="0"/>
            <w:tcW w:w="779" w:type="dxa"/>
            <w:vAlign w:val="center"/>
            <w:hideMark/>
          </w:tcPr>
          <w:p w14:paraId="0F8DDA8C"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Taiwan</w:t>
            </w:r>
          </w:p>
        </w:tc>
        <w:tc>
          <w:tcPr>
            <w:tcW w:w="1414" w:type="dxa"/>
            <w:vAlign w:val="center"/>
            <w:hideMark/>
          </w:tcPr>
          <w:p w14:paraId="5005E6C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75</w:t>
            </w:r>
          </w:p>
        </w:tc>
        <w:tc>
          <w:tcPr>
            <w:tcW w:w="1085" w:type="dxa"/>
            <w:vAlign w:val="center"/>
            <w:hideMark/>
          </w:tcPr>
          <w:p w14:paraId="0D7349C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Thermal treated (1400 °C, vitrification) + Ball milled</w:t>
            </w:r>
          </w:p>
        </w:tc>
        <w:tc>
          <w:tcPr>
            <w:tcW w:w="236" w:type="dxa"/>
            <w:tcBorders>
              <w:top w:val="nil"/>
              <w:bottom w:val="nil"/>
            </w:tcBorders>
            <w:vAlign w:val="center"/>
          </w:tcPr>
          <w:p w14:paraId="1AE2C0F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hideMark/>
          </w:tcPr>
          <w:p w14:paraId="0812BEB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25.6</w:t>
            </w:r>
          </w:p>
        </w:tc>
        <w:tc>
          <w:tcPr>
            <w:tcW w:w="850" w:type="dxa"/>
            <w:gridSpan w:val="2"/>
            <w:tcBorders>
              <w:top w:val="single" w:sz="4" w:space="0" w:color="auto"/>
              <w:bottom w:val="single" w:sz="4" w:space="0" w:color="auto"/>
            </w:tcBorders>
            <w:vAlign w:val="center"/>
            <w:hideMark/>
          </w:tcPr>
          <w:p w14:paraId="522B68A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26.1</w:t>
            </w:r>
          </w:p>
        </w:tc>
        <w:tc>
          <w:tcPr>
            <w:tcW w:w="567" w:type="dxa"/>
            <w:tcBorders>
              <w:top w:val="single" w:sz="4" w:space="0" w:color="auto"/>
              <w:left w:val="nil"/>
              <w:bottom w:val="single" w:sz="4" w:space="0" w:color="auto"/>
              <w:right w:val="nil"/>
            </w:tcBorders>
            <w:vAlign w:val="center"/>
          </w:tcPr>
          <w:p w14:paraId="665A469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6.3</w:t>
            </w:r>
          </w:p>
        </w:tc>
        <w:tc>
          <w:tcPr>
            <w:tcW w:w="284" w:type="dxa"/>
            <w:tcBorders>
              <w:top w:val="nil"/>
              <w:bottom w:val="nil"/>
            </w:tcBorders>
            <w:vAlign w:val="center"/>
          </w:tcPr>
          <w:p w14:paraId="30525DEE"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hideMark/>
          </w:tcPr>
          <w:p w14:paraId="62EA35D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w:t>
            </w:r>
          </w:p>
        </w:tc>
        <w:tc>
          <w:tcPr>
            <w:tcW w:w="762" w:type="dxa"/>
            <w:vAlign w:val="center"/>
            <w:hideMark/>
          </w:tcPr>
          <w:p w14:paraId="4E209D1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 (type I)</w:t>
            </w:r>
          </w:p>
        </w:tc>
        <w:tc>
          <w:tcPr>
            <w:tcW w:w="935" w:type="dxa"/>
            <w:vAlign w:val="center"/>
            <w:hideMark/>
          </w:tcPr>
          <w:p w14:paraId="54389F8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0.38</w:t>
            </w:r>
          </w:p>
        </w:tc>
        <w:tc>
          <w:tcPr>
            <w:tcW w:w="765" w:type="dxa"/>
            <w:vAlign w:val="center"/>
            <w:hideMark/>
          </w:tcPr>
          <w:p w14:paraId="1B4DD6A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hideMark/>
          </w:tcPr>
          <w:p w14:paraId="1430131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25 °C, &gt; 98 % RH</w:t>
            </w:r>
          </w:p>
        </w:tc>
        <w:tc>
          <w:tcPr>
            <w:tcW w:w="1103" w:type="dxa"/>
            <w:vAlign w:val="center"/>
            <w:hideMark/>
          </w:tcPr>
          <w:p w14:paraId="1358439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 × 50 × 50</w:t>
            </w:r>
          </w:p>
        </w:tc>
        <w:tc>
          <w:tcPr>
            <w:tcW w:w="1571" w:type="dxa"/>
            <w:vAlign w:val="center"/>
            <w:hideMark/>
          </w:tcPr>
          <w:p w14:paraId="3C25346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From 1d till 90d: 10 to 42 % decline compared with OPC</w:t>
            </w:r>
          </w:p>
        </w:tc>
        <w:tc>
          <w:tcPr>
            <w:tcW w:w="944" w:type="dxa"/>
            <w:vAlign w:val="center"/>
            <w:hideMark/>
          </w:tcPr>
          <w:p w14:paraId="7A58DACA" w14:textId="161148F4"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{"citationItems":[{"id":"ITEM-1","itemData":{"DOI":"10.1016/j.conbuildmat.2006.08.012","ISSN":"09500618","abstract":"The latent hydraulic characteristics of slag derived from pulverized municipal solid waste incinerator bottom ash (MSWIBA) slag were investigated. The results indicate that the MSWIBA slag blended cement (SBC) pastes with a 10% and 20% cement replacement by slags generated from the bottom ash developed a 90-day compressive strength that was similar to that of ordinary Portland cement. From the pore size distribution, as shown by Mercury Intrusion Porosimetry results, it was found that, with increasing curing ages, the gel pores increased and the total porosity and number of capillary pores decreased - a result that shows that hydrates had filled the pores. X-ray diffraction analysis indicated that the hydrates in the slag blended cement pastes were mainly Ca(OH)2, calcium silicate hydrate (C-S-H) gels and C-A-H salts, like those found in ordinary Portland cement paste. This indicates that the slag reacted with Ca(OH)2 to form C-S-H and C-A-H. The reaction also led to the later development of strength in MSWIBA slag blended cement pastes. It can be concluded from the study results that municipal solid waste incinerator bottom ash can be processed by melting to recover reactive pozzolanic slag, which may then be used in SBC to partially replace cement. © 2006 Elsevier Ltd. All rights reserved.","author":[{"dropping-particle":"","family":"Lin","given":"K L","non-dropping-particle":"","parse-names":false,"suffix":""},{"dropping-particle":"","family":"Chang","given":"W C","non-dropping-particle":"","parse-names":false,"suffix":""},{"dropping-particle":"","family":"Lin","given":"D F","non-dropping-particle":"","parse-names":false,"suffix":""}],"container-title":"Construction and Building Materials","id":"ITEM-1","issue":"3","issued":{"date-parts":[["2008"]]},"page":"324-329","title":"Pozzolanic characteristics of pulverized incinerator bottom ash slag","type":"article-journal","volume":"22"},"uris":["http://www.mendeley.com/documents/?uuid=d177e5e1-4033-40b9-bca1-0f2225c88d38"]}],"mendeley":{"formattedCitation":"(Lin et al., 2008)","plainTextFormattedCitation":"(Lin et al., 2008)","previouslyFormattedCitation":"(Lin et al., 2008)"},"properties":{"noteIndex":0},"schema":"https://github.com/citation-style-language/schema/raw/master/csl-citation.json"}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(Lin et al., 2008)</w:t>
            </w:r>
            <w:r w:rsidRPr="00704E49">
              <w:rPr>
                <w:rFonts w:ascii="Calibri" w:eastAsia="等线" w:hAnsi="Calibri" w:cs="Calibri"/>
                <w:sz w:val="14"/>
                <w:szCs w:val="14"/>
              </w:rPr>
              <w:fldChar w:fldCharType="end"/>
            </w:r>
          </w:p>
        </w:tc>
      </w:tr>
      <w:tr w:rsidR="00D76C75" w:rsidRPr="00704E49" w14:paraId="7E071FE5"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31BDCA9F"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Taiwan</w:t>
            </w:r>
          </w:p>
        </w:tc>
        <w:tc>
          <w:tcPr>
            <w:tcW w:w="1414" w:type="dxa"/>
            <w:vAlign w:val="center"/>
          </w:tcPr>
          <w:p w14:paraId="5913033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90</w:t>
            </w:r>
            <w:r w:rsidRPr="00704E49">
              <w:rPr>
                <w:rFonts w:ascii="Calibri" w:eastAsia="等线" w:hAnsi="Calibri" w:cs="Calibri"/>
                <w:sz w:val="14"/>
                <w:szCs w:val="14"/>
              </w:rPr>
              <w:t xml:space="preserve"> &lt; 21</w:t>
            </w:r>
          </w:p>
          <w:p w14:paraId="49700DF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 xml:space="preserve"> - </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xml:space="preserve"> 5 - 10 mm)</w:t>
            </w:r>
          </w:p>
        </w:tc>
        <w:tc>
          <w:tcPr>
            <w:tcW w:w="1085" w:type="dxa"/>
            <w:vAlign w:val="center"/>
          </w:tcPr>
          <w:p w14:paraId="6AD43E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Water washed + acid washed + thermally treated (1100 °C) + ball milled</w:t>
            </w:r>
          </w:p>
        </w:tc>
        <w:tc>
          <w:tcPr>
            <w:tcW w:w="236" w:type="dxa"/>
            <w:tcBorders>
              <w:top w:val="nil"/>
              <w:bottom w:val="nil"/>
            </w:tcBorders>
            <w:vAlign w:val="center"/>
          </w:tcPr>
          <w:p w14:paraId="6B7B282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p>
        </w:tc>
        <w:tc>
          <w:tcPr>
            <w:tcW w:w="739" w:type="dxa"/>
            <w:gridSpan w:val="2"/>
            <w:tcBorders>
              <w:top w:val="single" w:sz="4" w:space="0" w:color="auto"/>
              <w:bottom w:val="single" w:sz="4" w:space="0" w:color="auto"/>
            </w:tcBorders>
            <w:vAlign w:val="center"/>
          </w:tcPr>
          <w:p w14:paraId="6EC0319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38.14 (</w:t>
            </w:r>
            <w:proofErr w:type="spellStart"/>
            <w:r w:rsidRPr="00704E49">
              <w:rPr>
                <w:rFonts w:ascii="Calibri" w:eastAsia="等线" w:hAnsi="Calibri" w:cs="Calibri"/>
                <w:sz w:val="14"/>
                <w:szCs w:val="14"/>
              </w:rPr>
              <w:t>raw</w:t>
            </w:r>
            <w:proofErr w:type="spellEnd"/>
            <w:r w:rsidRPr="00704E49">
              <w:rPr>
                <w:rFonts w:ascii="Calibri" w:eastAsia="等线" w:hAnsi="Calibri" w:cs="Calibri"/>
                <w:sz w:val="14"/>
                <w:szCs w:val="14"/>
              </w:rPr>
              <w:t>)</w:t>
            </w:r>
          </w:p>
          <w:p w14:paraId="5E3C3EF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86.46 (</w:t>
            </w:r>
            <w:proofErr w:type="spellStart"/>
            <w:r w:rsidRPr="00704E49">
              <w:rPr>
                <w:rFonts w:ascii="Calibri" w:eastAsia="等线" w:hAnsi="Calibri" w:cs="Calibri"/>
                <w:sz w:val="14"/>
                <w:szCs w:val="14"/>
              </w:rPr>
              <w:t>treated</w:t>
            </w:r>
            <w:proofErr w:type="spellEnd"/>
            <w:r w:rsidRPr="00704E49">
              <w:rPr>
                <w:rFonts w:ascii="Calibri" w:eastAsia="等线" w:hAnsi="Calibri" w:cs="Calibri"/>
                <w:sz w:val="14"/>
                <w:szCs w:val="14"/>
              </w:rPr>
              <w:t>)</w:t>
            </w:r>
          </w:p>
        </w:tc>
        <w:tc>
          <w:tcPr>
            <w:tcW w:w="850" w:type="dxa"/>
            <w:gridSpan w:val="2"/>
            <w:tcBorders>
              <w:top w:val="single" w:sz="4" w:space="0" w:color="auto"/>
              <w:bottom w:val="single" w:sz="4" w:space="0" w:color="auto"/>
            </w:tcBorders>
            <w:vAlign w:val="center"/>
          </w:tcPr>
          <w:p w14:paraId="48481EA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43.27 (</w:t>
            </w:r>
            <w:proofErr w:type="spellStart"/>
            <w:r w:rsidRPr="00704E49">
              <w:rPr>
                <w:rFonts w:ascii="Calibri" w:eastAsia="等线" w:hAnsi="Calibri" w:cs="Calibri"/>
                <w:sz w:val="14"/>
                <w:szCs w:val="14"/>
              </w:rPr>
              <w:t>raw</w:t>
            </w:r>
            <w:proofErr w:type="spellEnd"/>
            <w:r w:rsidRPr="00704E49">
              <w:rPr>
                <w:rFonts w:ascii="Calibri" w:eastAsia="等线" w:hAnsi="Calibri" w:cs="Calibri"/>
                <w:sz w:val="14"/>
                <w:szCs w:val="14"/>
              </w:rPr>
              <w:t>)</w:t>
            </w:r>
          </w:p>
          <w:p w14:paraId="11CC20B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6.14 (</w:t>
            </w:r>
            <w:proofErr w:type="spellStart"/>
            <w:r w:rsidRPr="00704E49">
              <w:rPr>
                <w:rFonts w:ascii="Calibri" w:eastAsia="等线" w:hAnsi="Calibri" w:cs="Calibri"/>
                <w:sz w:val="14"/>
                <w:szCs w:val="14"/>
              </w:rPr>
              <w:t>treated</w:t>
            </w:r>
            <w:proofErr w:type="spellEnd"/>
            <w:r w:rsidRPr="00704E49">
              <w:rPr>
                <w:rFonts w:ascii="Calibri" w:eastAsia="等线" w:hAnsi="Calibri" w:cs="Calibri"/>
                <w:sz w:val="14"/>
                <w:szCs w:val="14"/>
              </w:rPr>
              <w:t>)</w:t>
            </w:r>
          </w:p>
        </w:tc>
        <w:tc>
          <w:tcPr>
            <w:tcW w:w="567" w:type="dxa"/>
            <w:tcBorders>
              <w:top w:val="single" w:sz="4" w:space="0" w:color="auto"/>
              <w:left w:val="nil"/>
              <w:bottom w:val="single" w:sz="4" w:space="0" w:color="auto"/>
              <w:right w:val="nil"/>
            </w:tcBorders>
            <w:vAlign w:val="center"/>
          </w:tcPr>
          <w:p w14:paraId="5F0EF91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0.19</w:t>
            </w:r>
          </w:p>
        </w:tc>
        <w:tc>
          <w:tcPr>
            <w:tcW w:w="284" w:type="dxa"/>
            <w:tcBorders>
              <w:top w:val="nil"/>
              <w:bottom w:val="nil"/>
            </w:tcBorders>
            <w:vAlign w:val="center"/>
          </w:tcPr>
          <w:p w14:paraId="5C7702E8"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5CB75B6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 vol.% (volume percentage)</w:t>
            </w:r>
          </w:p>
        </w:tc>
        <w:tc>
          <w:tcPr>
            <w:tcW w:w="762" w:type="dxa"/>
            <w:vAlign w:val="center"/>
          </w:tcPr>
          <w:p w14:paraId="013AE93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15 vol.% rice husk ash (treated at 550, 700, 900 °C) +</w:t>
            </w:r>
          </w:p>
          <w:p w14:paraId="4C12D36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70 vol. % Portland cement (type I)</w:t>
            </w:r>
          </w:p>
        </w:tc>
        <w:tc>
          <w:tcPr>
            <w:tcW w:w="935" w:type="dxa"/>
            <w:vAlign w:val="center"/>
          </w:tcPr>
          <w:p w14:paraId="0944F52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0.21</w:t>
            </w:r>
          </w:p>
          <w:p w14:paraId="357CC8B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0F2C99C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3D15235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gramStart"/>
            <w:r w:rsidRPr="00704E49">
              <w:rPr>
                <w:rFonts w:ascii="Calibri" w:eastAsia="等线" w:hAnsi="Calibri" w:cs="Calibri"/>
                <w:sz w:val="14"/>
                <w:szCs w:val="14"/>
              </w:rPr>
              <w:t>25  ±</w:t>
            </w:r>
            <w:proofErr w:type="gramEnd"/>
            <w:r w:rsidRPr="00704E49">
              <w:rPr>
                <w:rFonts w:ascii="Calibri" w:eastAsia="等线" w:hAnsi="Calibri" w:cs="Calibri"/>
                <w:sz w:val="14"/>
                <w:szCs w:val="14"/>
              </w:rPr>
              <w:t xml:space="preserve"> 2 °C, water</w:t>
            </w:r>
          </w:p>
        </w:tc>
        <w:tc>
          <w:tcPr>
            <w:tcW w:w="1103" w:type="dxa"/>
            <w:vAlign w:val="center"/>
          </w:tcPr>
          <w:p w14:paraId="6EF9A09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 × 50 × 50</w:t>
            </w:r>
          </w:p>
        </w:tc>
        <w:tc>
          <w:tcPr>
            <w:tcW w:w="1571" w:type="dxa"/>
            <w:vAlign w:val="center"/>
          </w:tcPr>
          <w:p w14:paraId="79928E7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28d: 35.92-42.11</w:t>
            </w:r>
          </w:p>
          <w:p w14:paraId="0670E56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decreased</w:t>
            </w:r>
            <w:proofErr w:type="spellEnd"/>
            <w:proofErr w:type="gramEnd"/>
            <w:r w:rsidRPr="00704E49">
              <w:rPr>
                <w:rFonts w:ascii="Calibri" w:eastAsia="等线" w:hAnsi="Calibri" w:cs="Calibri"/>
                <w:sz w:val="14"/>
                <w:szCs w:val="14"/>
              </w:rPr>
              <w:t xml:space="preserve"> </w:t>
            </w:r>
            <w:proofErr w:type="spellStart"/>
            <w:r w:rsidRPr="00704E49">
              <w:rPr>
                <w:rFonts w:ascii="Calibri" w:eastAsia="等线" w:hAnsi="Calibri" w:cs="Calibri"/>
                <w:sz w:val="14"/>
                <w:szCs w:val="14"/>
              </w:rPr>
              <w:t>by</w:t>
            </w:r>
            <w:proofErr w:type="spellEnd"/>
            <w:r w:rsidRPr="00704E49">
              <w:rPr>
                <w:rFonts w:ascii="Calibri" w:eastAsia="等线" w:hAnsi="Calibri" w:cs="Calibri"/>
                <w:sz w:val="14"/>
                <w:szCs w:val="14"/>
              </w:rPr>
              <w:t xml:space="preserve"> 25.6 % </w:t>
            </w:r>
            <w:proofErr w:type="spellStart"/>
            <w:r w:rsidRPr="00704E49">
              <w:rPr>
                <w:rFonts w:ascii="Calibri" w:eastAsia="等线" w:hAnsi="Calibri" w:cs="Calibri"/>
                <w:sz w:val="14"/>
                <w:szCs w:val="14"/>
              </w:rPr>
              <w:t>to</w:t>
            </w:r>
            <w:proofErr w:type="spellEnd"/>
            <w:r w:rsidRPr="00704E49">
              <w:rPr>
                <w:rFonts w:ascii="Calibri" w:eastAsia="等线" w:hAnsi="Calibri" w:cs="Calibri"/>
                <w:sz w:val="14"/>
                <w:szCs w:val="14"/>
              </w:rPr>
              <w:t xml:space="preserve"> 12.8 %)</w:t>
            </w:r>
          </w:p>
        </w:tc>
        <w:tc>
          <w:tcPr>
            <w:tcW w:w="944" w:type="dxa"/>
            <w:vAlign w:val="center"/>
          </w:tcPr>
          <w:p w14:paraId="341E0088" w14:textId="60A6518D"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{"citationItems":[{"id":"ITEM-1","itemData":{"DOI":"10.1007/S11356-020-08796-Z","abstract":"Pervious concrete (PC) provides multiple benefits, including reducing stormwater runoff, purifying water, recharging groundwater, and reducing the heat island effect. This study aims to determine an effective way to reuse municipal solid waste incinerator (MSWI) fly ash (FA), MSWI bottom ash (BA), and rice husk ash (RHA) as single or binary partial replacements for ordinary Portland cement (OPC) in PC. The ashes and PC specimens were characterized via X-ray fluorescence spectroscopy, X-ray powder diffraction, field emission-scanning electron microscopy, and Fourier transform infrared spectroscopy. The compressive strength, water permeability, and toxicity characteristic leaching procedure (TCLP)-released metals were investigated to evaluate the PC quality. The main components of the ashes were similar to those of OPC, suggesting that the ashes could be reused as cement materials; however, the cementitious activity of the ashes, especially MSWI FA, was relatively low. All ashes except 1100 °C MSWI FA met the standard requirements and can be applied as pozzolanic materials. The three PC specimens with binary replacements containing RHA (550, 700, and 900 °C) and MSWI BA (1100 °C) showed a synergistic effect and exhibited a higher 90-day compressive strength than the other specimens with single and binary ash replacements containing RHA (550 and 900 °C). The water permeability ranged between 0.106 and 0.391 cm/s, and the TCLP-released metal concentrations from all specimens met the regulatory standards of Taiwan. The results indicated that replacement with MSWI BA and RHA in cement materials provides an acceptable compressive strength and water permeability.","author":[{"dropping-particle":"","family":"Lo","given":"Fang Chen","non-dropping-particle":"","parse-names":false,"suffix":""},{"dropping-particle":"","family":"Lo","given":"Shang Lien","non-dropping-particle":"","parse-names":false,"suffix":""},{"dropping-particle":"","family":"Lee","given":"Ming Gin","non-dropping-particle":"","parse-names":false,"suffix":""}],"container-title":"Environmental Science and Pollution Research","id":"ITEM-1","issue":"19","issued":{"date-parts":[["2020"]]},"page":"23742-23760","publisher":"Springer","title":"Effect of partially replacing ordinary Portland cement with municipal solid waste incinerator ashes and rice husk ashes on pervious concrete quality","type":"article-journal","volume":"27"},"uris":["http://www.mendeley.com/documents/?uuid=3a6d9e11-ebde-48aa-96d8-9fb13550fd1d"]}],"mendeley":{"formattedCitation":"(Lo et al., 2020)","plainTextFormattedCitation":"(Lo et al., 2020)","previouslyFormattedCitation":"(Lo et al., 2020)"},"properties":{"noteIndex":0},"schema":"https://github.com/citation-style-language/schema/raw/master/csl-citation.json"}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(Lo et al., 2020)</w:t>
            </w:r>
            <w:r w:rsidRPr="00704E49">
              <w:rPr>
                <w:rFonts w:ascii="Calibri" w:eastAsia="等线" w:hAnsi="Calibri" w:cs="Calibri"/>
                <w:sz w:val="14"/>
                <w:szCs w:val="14"/>
              </w:rPr>
              <w:fldChar w:fldCharType="end"/>
            </w:r>
          </w:p>
        </w:tc>
      </w:tr>
      <w:tr w:rsidR="00D76C75" w:rsidRPr="00704E49" w14:paraId="26EB01EC" w14:textId="77777777" w:rsidTr="00AC0648">
        <w:trPr>
          <w:cnfStyle w:val="000000100000" w:firstRow="0" w:lastRow="0" w:firstColumn="0" w:lastColumn="0" w:oddVBand="0" w:evenVBand="0" w:oddHBand="1" w:evenHBand="0" w:firstRowFirstColumn="0" w:firstRowLastColumn="0" w:lastRowFirstColumn="0" w:lastRowLastColumn="0"/>
          <w:trHeight w:val="795"/>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725F80C2"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lastRenderedPageBreak/>
              <w:t>Thailand</w:t>
            </w:r>
          </w:p>
        </w:tc>
        <w:tc>
          <w:tcPr>
            <w:tcW w:w="1414" w:type="dxa"/>
            <w:vAlign w:val="center"/>
          </w:tcPr>
          <w:p w14:paraId="54DB9A5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45</w:t>
            </w:r>
          </w:p>
          <w:p w14:paraId="07BC21C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D</w:t>
            </w:r>
            <w:r w:rsidRPr="00704E49">
              <w:rPr>
                <w:rFonts w:ascii="Calibri" w:eastAsia="等线" w:hAnsi="Calibri" w:cs="Calibri"/>
                <w:sz w:val="14"/>
                <w:szCs w:val="14"/>
                <w:vertAlign w:val="subscript"/>
              </w:rPr>
              <w:t>50</w:t>
            </w:r>
            <w:r w:rsidRPr="00704E49">
              <w:rPr>
                <w:rFonts w:ascii="Calibri" w:eastAsia="等线" w:hAnsi="Calibri" w:cs="Calibri"/>
                <w:sz w:val="14"/>
                <w:szCs w:val="14"/>
              </w:rPr>
              <w:t xml:space="preserve"> = 5.15</w:t>
            </w:r>
          </w:p>
        </w:tc>
        <w:tc>
          <w:tcPr>
            <w:tcW w:w="1085" w:type="dxa"/>
            <w:vAlign w:val="center"/>
          </w:tcPr>
          <w:p w14:paraId="57683E3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Ball </w:t>
            </w:r>
            <w:proofErr w:type="spellStart"/>
            <w:r w:rsidRPr="00704E49">
              <w:rPr>
                <w:rFonts w:ascii="Calibri" w:eastAsia="等线" w:hAnsi="Calibri" w:cs="Calibri"/>
                <w:sz w:val="14"/>
                <w:szCs w:val="14"/>
              </w:rPr>
              <w:t>milled</w:t>
            </w:r>
            <w:proofErr w:type="spellEnd"/>
          </w:p>
        </w:tc>
        <w:tc>
          <w:tcPr>
            <w:tcW w:w="236" w:type="dxa"/>
            <w:tcBorders>
              <w:top w:val="nil"/>
              <w:bottom w:val="nil"/>
            </w:tcBorders>
            <w:vAlign w:val="center"/>
          </w:tcPr>
          <w:p w14:paraId="5527679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63BD309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15.8</w:t>
            </w:r>
          </w:p>
        </w:tc>
        <w:tc>
          <w:tcPr>
            <w:tcW w:w="850" w:type="dxa"/>
            <w:gridSpan w:val="2"/>
            <w:tcBorders>
              <w:top w:val="single" w:sz="4" w:space="0" w:color="auto"/>
              <w:bottom w:val="single" w:sz="4" w:space="0" w:color="auto"/>
            </w:tcBorders>
            <w:vAlign w:val="center"/>
          </w:tcPr>
          <w:p w14:paraId="6BFE07E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38.1</w:t>
            </w:r>
          </w:p>
        </w:tc>
        <w:tc>
          <w:tcPr>
            <w:tcW w:w="567" w:type="dxa"/>
            <w:tcBorders>
              <w:top w:val="single" w:sz="4" w:space="0" w:color="auto"/>
              <w:left w:val="nil"/>
              <w:bottom w:val="single" w:sz="4" w:space="0" w:color="auto"/>
              <w:right w:val="nil"/>
            </w:tcBorders>
            <w:vAlign w:val="center"/>
          </w:tcPr>
          <w:p w14:paraId="0B828DE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0.9</w:t>
            </w:r>
          </w:p>
        </w:tc>
        <w:tc>
          <w:tcPr>
            <w:tcW w:w="284" w:type="dxa"/>
            <w:tcBorders>
              <w:top w:val="nil"/>
              <w:bottom w:val="nil"/>
            </w:tcBorders>
            <w:vAlign w:val="center"/>
          </w:tcPr>
          <w:p w14:paraId="2A8A8DFE" w14:textId="77777777" w:rsidR="00D76C75" w:rsidRPr="00704E49" w:rsidRDefault="00D76C75" w:rsidP="00D76C75">
            <w:pPr>
              <w:widowControl/>
              <w:jc w:val="left"/>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bottom w:val="single" w:sz="4" w:space="0" w:color="auto"/>
            </w:tcBorders>
            <w:vAlign w:val="center"/>
          </w:tcPr>
          <w:p w14:paraId="2076102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40</w:t>
            </w:r>
          </w:p>
        </w:tc>
        <w:tc>
          <w:tcPr>
            <w:tcW w:w="762" w:type="dxa"/>
            <w:vAlign w:val="center"/>
          </w:tcPr>
          <w:p w14:paraId="6C56A1E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w:t>
            </w:r>
          </w:p>
        </w:tc>
        <w:tc>
          <w:tcPr>
            <w:tcW w:w="935" w:type="dxa"/>
            <w:vAlign w:val="center"/>
          </w:tcPr>
          <w:p w14:paraId="528EE14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0.484</w:t>
            </w:r>
          </w:p>
          <w:p w14:paraId="4E664FD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spellStart"/>
            <w:proofErr w:type="gramStart"/>
            <w:r w:rsidRPr="00704E49">
              <w:rPr>
                <w:rFonts w:ascii="Calibri" w:eastAsia="等线" w:hAnsi="Calibri" w:cs="Calibri"/>
                <w:sz w:val="14"/>
                <w:szCs w:val="14"/>
              </w:rPr>
              <w:t>superplasticizer</w:t>
            </w:r>
            <w:proofErr w:type="spellEnd"/>
            <w:proofErr w:type="gramEnd"/>
            <w:r w:rsidRPr="00704E49">
              <w:rPr>
                <w:rFonts w:ascii="Calibri" w:eastAsia="等线" w:hAnsi="Calibri" w:cs="Calibri"/>
                <w:sz w:val="14"/>
                <w:szCs w:val="14"/>
              </w:rPr>
              <w:t>)</w:t>
            </w:r>
          </w:p>
        </w:tc>
        <w:tc>
          <w:tcPr>
            <w:tcW w:w="765" w:type="dxa"/>
            <w:vAlign w:val="center"/>
          </w:tcPr>
          <w:p w14:paraId="4612CC0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1:2.75 (M)</w:t>
            </w:r>
          </w:p>
        </w:tc>
        <w:tc>
          <w:tcPr>
            <w:tcW w:w="1045" w:type="dxa"/>
            <w:vAlign w:val="center"/>
          </w:tcPr>
          <w:p w14:paraId="5A29A38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Saturated</w:t>
            </w:r>
            <w:proofErr w:type="spellEnd"/>
            <w:r w:rsidRPr="00704E49">
              <w:rPr>
                <w:rFonts w:ascii="Calibri" w:eastAsia="等线" w:hAnsi="Calibri" w:cs="Calibri"/>
                <w:sz w:val="14"/>
                <w:szCs w:val="14"/>
              </w:rPr>
              <w:t xml:space="preserve"> limewater</w:t>
            </w:r>
          </w:p>
        </w:tc>
        <w:tc>
          <w:tcPr>
            <w:tcW w:w="1103" w:type="dxa"/>
            <w:vAlign w:val="center"/>
          </w:tcPr>
          <w:p w14:paraId="0A731F0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50 × 50 × 50</w:t>
            </w:r>
          </w:p>
        </w:tc>
        <w:tc>
          <w:tcPr>
            <w:tcW w:w="1571" w:type="dxa"/>
            <w:vAlign w:val="center"/>
          </w:tcPr>
          <w:p w14:paraId="7D791C3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29.3</w:t>
            </w:r>
            <w:r w:rsidRPr="00704E49">
              <w:rPr>
                <w:rFonts w:ascii="Calibri" w:eastAsia="等线" w:hAnsi="Calibri" w:cs="Calibri"/>
                <w:sz w:val="14"/>
                <w:szCs w:val="14"/>
                <w:vertAlign w:val="superscript"/>
              </w:rPr>
              <w:t>7d</w:t>
            </w:r>
          </w:p>
          <w:p w14:paraId="2A3D36D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35.7</w:t>
            </w:r>
            <w:r w:rsidRPr="00704E49">
              <w:rPr>
                <w:rFonts w:ascii="Calibri" w:eastAsia="等线" w:hAnsi="Calibri" w:cs="Calibri"/>
                <w:sz w:val="14"/>
                <w:szCs w:val="14"/>
                <w:vertAlign w:val="superscript"/>
              </w:rPr>
              <w:t>28d</w:t>
            </w:r>
          </w:p>
        </w:tc>
        <w:tc>
          <w:tcPr>
            <w:tcW w:w="944" w:type="dxa"/>
            <w:vAlign w:val="center"/>
          </w:tcPr>
          <w:p w14:paraId="096C9DB6" w14:textId="1B0196BA"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{"citationItems":[{"id":"ITEM-1","itemData":{"DOI":"10.1016/j.jclepro.2017.01.147","ISSN":"09596526","abstract":"In order to reduce municipal solid waste incinerator (MSWI) ash, the effect of replacement level of high calcium fly ash by MSWI bottom ash on fly ash based geopolymer properties were studied. The results were compared to cement matrix containing MSWI bottom ash. It showed that the 20% MSWI bottom ash replacement level produced the highest compressive strength at 7 d of 52.8 MPa. The MSWI bottom ash could replace fly ash at high dosage level of 40% and the compressive strength was still higher than that of the control geopolymer mortar. The porosity, pore size distribution, and SEM indicated that the use of MSWI bottom ash could increase the denseness and homogeneity of geopolymer and cement matrix. In addition, the increase of MSWI bottom ash level significantly increased the crystalline phases of calcite and quartz as shown in the XRD pattern and C-O stretching in the FTIR images of both matrices.","author":[{"dropping-particle":"","family":"Wongsa","given":"Ampol","non-dropping-particle":"","parse-names":false,"suffix":""},{"dropping-particle":"","family":"Boonserm","given":"Kornkanok","non-dropping-particle":"","parse-names":false,"suffix":""},{"dropping-particle":"","family":"Waisurasingha","given":"Chattichai","non-dropping-particle":"","parse-names":false,"suffix":""},{"dropping-particle":"","family":"Sata","given":"Vanchai","non-dropping-particle":"","parse-names":false,"suffix":""},{"dropping-particle":"","family":"Chindaprasirt","given":"Prinya","non-dropping-particle":"","parse-names":false,"suffix":""}],"container-title":"Journal of Cleaner Production","id":"ITEM-1","issued":{"date-parts":[["2017"]]},"page":"49-59","publisher":"Elsevier Ltd","title":"Use of municipal solid waste incinerator (MSWI) bottom ash in high calcium fly ash geopolymer matrix","type":"article-journal","volume":"148"},"uris":["http://www.mendeley.com/documents/?uuid=49bdb9a7-505a-4671-91ab-11af531fe732"]}],"mendeley":{"formattedCitation":"(Wongsa et al., 2017)","plainTextFormattedCitation":"(Wongsa et al., 2017)","previouslyFormattedCitation":"(Wongsa et al., 2017)"},"properties":{"noteIndex":0},"schema":"https://github.com/citation-style-language/schema/raw/master/csl-citation.json"}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(Wongsa et al., 2017)</w:t>
            </w:r>
            <w:r w:rsidRPr="00704E49">
              <w:rPr>
                <w:rFonts w:ascii="Calibri" w:eastAsia="等线" w:hAnsi="Calibri" w:cs="Calibri"/>
                <w:sz w:val="14"/>
                <w:szCs w:val="14"/>
              </w:rPr>
              <w:fldChar w:fldCharType="end"/>
            </w:r>
          </w:p>
        </w:tc>
      </w:tr>
      <w:tr w:rsidR="00D76C75" w:rsidRPr="00704E49" w14:paraId="7EF2FABD" w14:textId="77777777" w:rsidTr="00AC0648">
        <w:trPr>
          <w:trHeight w:val="19"/>
          <w:jc w:val="center"/>
        </w:trPr>
        <w:tc>
          <w:tcPr>
            <w:cnfStyle w:val="001000000000" w:firstRow="0" w:lastRow="0" w:firstColumn="1" w:lastColumn="0" w:oddVBand="0" w:evenVBand="0" w:oddHBand="0" w:evenHBand="0" w:firstRowFirstColumn="0" w:firstRowLastColumn="0" w:lastRowFirstColumn="0" w:lastRowLastColumn="0"/>
            <w:tcW w:w="779" w:type="dxa"/>
            <w:vAlign w:val="center"/>
          </w:tcPr>
          <w:p w14:paraId="20B5740F" w14:textId="77777777" w:rsidR="00D76C75" w:rsidRPr="00704E49" w:rsidRDefault="00D76C75" w:rsidP="00D76C75">
            <w:pPr>
              <w:widowControl/>
              <w:jc w:val="center"/>
              <w:rPr>
                <w:rFonts w:ascii="Calibri" w:eastAsia="等线" w:hAnsi="Calibri" w:cs="Calibri"/>
                <w:sz w:val="14"/>
                <w:szCs w:val="14"/>
              </w:rPr>
            </w:pPr>
            <w:r w:rsidRPr="00704E49">
              <w:rPr>
                <w:rFonts w:ascii="Calibri" w:eastAsia="等线" w:hAnsi="Calibri" w:cs="Calibri"/>
                <w:sz w:val="14"/>
                <w:szCs w:val="14"/>
              </w:rPr>
              <w:t>US</w:t>
            </w:r>
          </w:p>
        </w:tc>
        <w:tc>
          <w:tcPr>
            <w:tcW w:w="1414" w:type="dxa"/>
            <w:vAlign w:val="center"/>
          </w:tcPr>
          <w:p w14:paraId="6C32153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&lt; 90</w:t>
            </w:r>
          </w:p>
          <w:p w14:paraId="586436B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w:t>
            </w:r>
            <w:proofErr w:type="gramStart"/>
            <w:r w:rsidRPr="00704E49">
              <w:rPr>
                <w:rFonts w:ascii="Calibri" w:eastAsia="等线" w:hAnsi="Calibri" w:cs="Calibri"/>
                <w:sz w:val="14"/>
                <w:szCs w:val="14"/>
              </w:rPr>
              <w:t>as</w:t>
            </w:r>
            <w:proofErr w:type="gramEnd"/>
            <w:r w:rsidRPr="00704E49">
              <w:rPr>
                <w:rFonts w:ascii="Calibri" w:eastAsia="等线" w:hAnsi="Calibri" w:cs="Calibri"/>
                <w:sz w:val="14"/>
                <w:szCs w:val="14"/>
              </w:rPr>
              <w:t xml:space="preserve"> - </w:t>
            </w:r>
            <w:proofErr w:type="spellStart"/>
            <w:r w:rsidRPr="00704E49">
              <w:rPr>
                <w:rFonts w:ascii="Calibri" w:eastAsia="等线" w:hAnsi="Calibri" w:cs="Calibri"/>
                <w:sz w:val="14"/>
                <w:szCs w:val="14"/>
              </w:rPr>
              <w:t>received</w:t>
            </w:r>
            <w:proofErr w:type="spellEnd"/>
            <w:r w:rsidRPr="00704E49">
              <w:rPr>
                <w:rFonts w:ascii="Calibri" w:eastAsia="等线" w:hAnsi="Calibri" w:cs="Calibri"/>
                <w:sz w:val="14"/>
                <w:szCs w:val="14"/>
              </w:rPr>
              <w:t>: &lt; 50 mm)</w:t>
            </w:r>
          </w:p>
        </w:tc>
        <w:tc>
          <w:tcPr>
            <w:tcW w:w="1085" w:type="dxa"/>
            <w:vAlign w:val="center"/>
          </w:tcPr>
          <w:p w14:paraId="179502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Ball </w:t>
            </w:r>
            <w:proofErr w:type="spellStart"/>
            <w:r w:rsidRPr="00704E49">
              <w:rPr>
                <w:rFonts w:ascii="Calibri" w:eastAsia="等线" w:hAnsi="Calibri" w:cs="Calibri"/>
                <w:sz w:val="14"/>
                <w:szCs w:val="14"/>
              </w:rPr>
              <w:t>milled</w:t>
            </w:r>
            <w:proofErr w:type="spellEnd"/>
          </w:p>
          <w:p w14:paraId="4A8F817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Metallic Al: 0.03 %</w:t>
            </w:r>
          </w:p>
        </w:tc>
        <w:tc>
          <w:tcPr>
            <w:tcW w:w="236" w:type="dxa"/>
            <w:tcBorders>
              <w:top w:val="nil"/>
              <w:bottom w:val="single" w:sz="4" w:space="0" w:color="auto"/>
            </w:tcBorders>
            <w:vAlign w:val="center"/>
          </w:tcPr>
          <w:p w14:paraId="7E65719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739" w:type="dxa"/>
            <w:gridSpan w:val="2"/>
            <w:tcBorders>
              <w:top w:val="single" w:sz="4" w:space="0" w:color="auto"/>
              <w:bottom w:val="single" w:sz="4" w:space="0" w:color="auto"/>
            </w:tcBorders>
            <w:vAlign w:val="center"/>
          </w:tcPr>
          <w:p w14:paraId="14C387C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850" w:type="dxa"/>
            <w:gridSpan w:val="2"/>
            <w:tcBorders>
              <w:top w:val="single" w:sz="4" w:space="0" w:color="auto"/>
              <w:bottom w:val="single" w:sz="4" w:space="0" w:color="auto"/>
            </w:tcBorders>
            <w:vAlign w:val="center"/>
          </w:tcPr>
          <w:p w14:paraId="2C3C693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N</w:t>
            </w:r>
          </w:p>
        </w:tc>
        <w:tc>
          <w:tcPr>
            <w:tcW w:w="567" w:type="dxa"/>
            <w:tcBorders>
              <w:top w:val="single" w:sz="4" w:space="0" w:color="auto"/>
              <w:bottom w:val="single" w:sz="4" w:space="0" w:color="auto"/>
            </w:tcBorders>
            <w:vAlign w:val="center"/>
          </w:tcPr>
          <w:p w14:paraId="249CEB8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284" w:type="dxa"/>
            <w:tcBorders>
              <w:top w:val="nil"/>
              <w:bottom w:val="single" w:sz="4" w:space="0" w:color="auto"/>
            </w:tcBorders>
            <w:vAlign w:val="center"/>
          </w:tcPr>
          <w:p w14:paraId="33044248" w14:textId="77777777" w:rsidR="00D76C75" w:rsidRPr="00704E49" w:rsidRDefault="00D76C75" w:rsidP="00D76C75">
            <w:pPr>
              <w:widowControl/>
              <w:jc w:val="left"/>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
        </w:tc>
        <w:tc>
          <w:tcPr>
            <w:tcW w:w="901" w:type="dxa"/>
            <w:tcBorders>
              <w:top w:val="single" w:sz="4" w:space="0" w:color="auto"/>
            </w:tcBorders>
            <w:vAlign w:val="center"/>
          </w:tcPr>
          <w:p w14:paraId="456F8C6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30</w:t>
            </w:r>
          </w:p>
        </w:tc>
        <w:tc>
          <w:tcPr>
            <w:tcW w:w="762" w:type="dxa"/>
            <w:vAlign w:val="center"/>
          </w:tcPr>
          <w:p w14:paraId="63698FB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Portland cement (type I)</w:t>
            </w:r>
          </w:p>
        </w:tc>
        <w:tc>
          <w:tcPr>
            <w:tcW w:w="935" w:type="dxa"/>
            <w:vAlign w:val="center"/>
          </w:tcPr>
          <w:p w14:paraId="63BAA8C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&gt; 0.5</w:t>
            </w:r>
          </w:p>
        </w:tc>
        <w:tc>
          <w:tcPr>
            <w:tcW w:w="765" w:type="dxa"/>
            <w:vAlign w:val="center"/>
          </w:tcPr>
          <w:p w14:paraId="0AE9E9E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P</w:t>
            </w:r>
          </w:p>
        </w:tc>
        <w:tc>
          <w:tcPr>
            <w:tcW w:w="1045" w:type="dxa"/>
            <w:vAlign w:val="center"/>
          </w:tcPr>
          <w:p w14:paraId="4AC0312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 xml:space="preserve">21 ± 1 °C, </w:t>
            </w:r>
          </w:p>
          <w:p w14:paraId="4A2B131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70 ± 3 % RH</w:t>
            </w:r>
          </w:p>
        </w:tc>
        <w:tc>
          <w:tcPr>
            <w:tcW w:w="1103" w:type="dxa"/>
            <w:vAlign w:val="center"/>
          </w:tcPr>
          <w:p w14:paraId="718741D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proofErr w:type="spellStart"/>
            <w:r w:rsidRPr="00704E49">
              <w:rPr>
                <w:rFonts w:ascii="Calibri" w:eastAsia="等线" w:hAnsi="Calibri" w:cs="Calibri"/>
                <w:sz w:val="14"/>
                <w:szCs w:val="14"/>
              </w:rPr>
              <w:t>Cylinder</w:t>
            </w:r>
            <w:proofErr w:type="spellEnd"/>
            <w:r w:rsidRPr="00704E49">
              <w:rPr>
                <w:rFonts w:ascii="Calibri" w:eastAsia="等线" w:hAnsi="Calibri" w:cs="Calibri"/>
                <w:sz w:val="14"/>
                <w:szCs w:val="14"/>
              </w:rPr>
              <w:t xml:space="preserve">: </w:t>
            </w:r>
          </w:p>
          <w:p w14:paraId="6CF6176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t>100 (diameter) × 50 (</w:t>
            </w:r>
            <w:proofErr w:type="spellStart"/>
            <w:r w:rsidRPr="00704E49">
              <w:rPr>
                <w:rFonts w:ascii="Calibri" w:eastAsia="等线" w:hAnsi="Calibri" w:cs="Calibri"/>
                <w:sz w:val="14"/>
                <w:szCs w:val="14"/>
              </w:rPr>
              <w:t>height</w:t>
            </w:r>
            <w:proofErr w:type="spellEnd"/>
            <w:r w:rsidRPr="00704E49">
              <w:rPr>
                <w:rFonts w:ascii="Calibri" w:eastAsia="等线" w:hAnsi="Calibri" w:cs="Calibri"/>
                <w:sz w:val="14"/>
                <w:szCs w:val="14"/>
              </w:rPr>
              <w:t>)</w:t>
            </w:r>
          </w:p>
        </w:tc>
        <w:tc>
          <w:tcPr>
            <w:tcW w:w="1571" w:type="dxa"/>
            <w:vAlign w:val="center"/>
          </w:tcPr>
          <w:p w14:paraId="37EC576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15.1</w:t>
            </w:r>
            <w:r w:rsidRPr="00704E49">
              <w:rPr>
                <w:rFonts w:ascii="Calibri" w:eastAsia="等线" w:hAnsi="Calibri" w:cs="Calibri"/>
                <w:sz w:val="14"/>
                <w:szCs w:val="14"/>
                <w:vertAlign w:val="superscript"/>
                <w:lang w:val="en-GB"/>
              </w:rPr>
              <w:t>28d</w:t>
            </w:r>
          </w:p>
          <w:p w14:paraId="00E10E6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lang w:val="en-GB"/>
              </w:rPr>
            </w:pPr>
            <w:r w:rsidRPr="00704E49">
              <w:rPr>
                <w:rFonts w:ascii="Calibri" w:eastAsia="等线" w:hAnsi="Calibri" w:cs="Calibri"/>
                <w:sz w:val="14"/>
                <w:szCs w:val="14"/>
                <w:lang w:val="en-GB"/>
              </w:rPr>
              <w:t>(decreased 46.6 % compared with OPC)</w:t>
            </w:r>
          </w:p>
        </w:tc>
        <w:tc>
          <w:tcPr>
            <w:tcW w:w="944" w:type="dxa"/>
            <w:vAlign w:val="center"/>
          </w:tcPr>
          <w:p w14:paraId="54F2BABE" w14:textId="08DFF77D"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4"/>
                <w:szCs w:val="14"/>
              </w:rPr>
            </w:pPr>
            <w:r w:rsidRPr="00704E49">
              <w:rPr>
                <w:rFonts w:ascii="Calibri" w:eastAsia="等线" w:hAnsi="Calibri" w:cs="Calibri"/>
                <w:sz w:val="14"/>
                <w:szCs w:val="14"/>
              </w:rPr>
              <w:fldChar w:fldCharType="begin" w:fldLock="1"/>
            </w:r>
            <w:r w:rsidR="005E7D08" w:rsidRPr="00704E49">
              <w:rPr>
                <w:rFonts w:ascii="Calibri" w:eastAsia="等线" w:hAnsi="Calibri" w:cs="Calibri"/>
                <w:sz w:val="14"/>
                <w:szCs w:val="14"/>
              </w:rPr>
              <w:instrText>ADDIN CSL_CITATION {"citationItems":[{"id":"ITEM-1","itemData":{"DOI":"10.1080/14680629.2015.1083463","ISSN":"21647402","abstract":"The main focus of this study is the characterisation of the municipal solid waste incineration (MSWI) ashes and their influence on engineering properties of cement paste when part of Portland cement is replaced with ground MSWI ashes. Petrographic examinations were performed in order to identify chemical composition of ashes and to determine their contents. To evaluate the main side effect of ashes when used in cement, the creation of network of bubbles due to the presence of aluminium, ashes, and aluminium powder were submerged in high pH solution and the evolution of hydrogen gas was measured. Cement paste cylinders were cast with various amounts of mineral additions and their strength and durability were investigated. Analysis on the measured data demonstrated that the use of ashes as cement replacement has both beneficial and detrimental effects on the strength and durability caused by the filler effect and hydrogen gas development, respectively.","author":[{"dropping-particle":"","family":"Kim","given":"Jinyoung","non-dropping-particle":"","parse-names":false,"suffix":""},{"dropping-particle":"","family":"An","given":"Jinwoo","non-dropping-particle":"","parse-names":false,"suffix":""},{"dropping-particle":"","family":"Nam","given":"Boo Hyun","non-dropping-particle":"","parse-names":false,"suffix":""},{"dropping-particle":"","family":"Tasneem","given":"Kazi Mahmuda","non-dropping-particle":"","parse-names":false,"suffix":""}],"container-title":"Road Materials and Pavement Design","id":"ITEM-1","issue":"2","issued":{"date-parts":[["2016"]]},"page":"345-364","publisher":"Taylor and Francis Ltd.","title":"Investigation on the side effects of municipal solid waste incineration ashes when used as mineral addition in cement-based material","type":"article-journal","volume":"17"},"uris":["http://www.mendeley.com/documents/?uuid=30685470-5a28-4533-8ff3-5b4080ea8f85"]}],"mendeley":{"formattedCitation":"(Kim et al., 2016)","plainTextFormattedCitation":"(Kim et al., 2016)","previouslyFormattedCitation":"(Kim et al., 2016)"},"properties":{"noteIndex":0},"schema":"https://github.com/citation-style-language/schema/raw/master/csl-citation.json"}</w:instrText>
            </w:r>
            <w:r w:rsidRPr="00704E49">
              <w:rPr>
                <w:rFonts w:ascii="Calibri" w:eastAsia="等线" w:hAnsi="Calibri" w:cs="Calibri"/>
                <w:sz w:val="14"/>
                <w:szCs w:val="14"/>
              </w:rPr>
              <w:fldChar w:fldCharType="separate"/>
            </w:r>
            <w:r w:rsidR="0015688F" w:rsidRPr="00704E49">
              <w:rPr>
                <w:rFonts w:ascii="Calibri" w:eastAsia="等线" w:hAnsi="Calibri" w:cs="Calibri"/>
                <w:noProof/>
                <w:sz w:val="14"/>
                <w:szCs w:val="14"/>
              </w:rPr>
              <w:t>(Kim et al., 2016)</w:t>
            </w:r>
            <w:r w:rsidRPr="00704E49">
              <w:rPr>
                <w:rFonts w:ascii="Calibri" w:eastAsia="等线" w:hAnsi="Calibri" w:cs="Calibri"/>
                <w:sz w:val="14"/>
                <w:szCs w:val="14"/>
              </w:rPr>
              <w:fldChar w:fldCharType="end"/>
            </w:r>
          </w:p>
        </w:tc>
      </w:tr>
      <w:bookmarkEnd w:id="6"/>
    </w:tbl>
    <w:p w14:paraId="4A8A29A8" w14:textId="77777777" w:rsidR="00D76C75" w:rsidRPr="00704E49" w:rsidRDefault="00D76C75" w:rsidP="00D76C75">
      <w:pPr>
        <w:widowControl/>
        <w:spacing w:after="160" w:line="259" w:lineRule="auto"/>
        <w:jc w:val="left"/>
        <w:rPr>
          <w:rFonts w:ascii="Calibri" w:eastAsia="等线" w:hAnsi="Calibri" w:cs="Arial"/>
          <w:kern w:val="0"/>
          <w:sz w:val="22"/>
          <w:lang w:eastAsia="en-US"/>
        </w:rPr>
      </w:pPr>
    </w:p>
    <w:p w14:paraId="316CFBC2" w14:textId="77777777" w:rsidR="00D76C75" w:rsidRPr="00704E49" w:rsidRDefault="00D76C75" w:rsidP="00D76C75">
      <w:pPr>
        <w:widowControl/>
        <w:spacing w:before="120" w:after="120"/>
        <w:rPr>
          <w:rFonts w:ascii="Calibri" w:eastAsia="等线" w:hAnsi="Calibri" w:cs="Latha"/>
          <w:kern w:val="0"/>
          <w:sz w:val="22"/>
        </w:rPr>
      </w:pPr>
      <w:r w:rsidRPr="00704E49">
        <w:rPr>
          <w:rFonts w:ascii="Calibri" w:eastAsia="等线" w:hAnsi="Calibri" w:cs="Latha"/>
          <w:kern w:val="0"/>
          <w:sz w:val="22"/>
        </w:rPr>
        <w:t>N: no information</w:t>
      </w:r>
    </w:p>
    <w:p w14:paraId="3D030044" w14:textId="77777777" w:rsidR="00D76C75" w:rsidRPr="00704E49" w:rsidRDefault="00D76C75" w:rsidP="00D76C75">
      <w:pPr>
        <w:widowControl/>
        <w:spacing w:before="120" w:after="120"/>
        <w:rPr>
          <w:rFonts w:ascii="Calibri" w:eastAsia="等线" w:hAnsi="Calibri" w:cs="Latha"/>
          <w:kern w:val="0"/>
          <w:sz w:val="22"/>
        </w:rPr>
      </w:pPr>
      <w:r w:rsidRPr="00704E49">
        <w:rPr>
          <w:rFonts w:ascii="Calibri" w:eastAsia="等线" w:hAnsi="Calibri" w:cs="Latha"/>
          <w:kern w:val="0"/>
          <w:sz w:val="22"/>
        </w:rPr>
        <w:t>D</w:t>
      </w:r>
      <w:r w:rsidRPr="00704E49">
        <w:rPr>
          <w:rFonts w:ascii="Calibri" w:eastAsia="等线" w:hAnsi="Calibri" w:cs="Latha"/>
          <w:kern w:val="0"/>
          <w:sz w:val="22"/>
          <w:vertAlign w:val="subscript"/>
        </w:rPr>
        <w:t>50</w:t>
      </w:r>
      <w:r w:rsidRPr="00704E49">
        <w:rPr>
          <w:rFonts w:ascii="Calibri" w:eastAsia="等线" w:hAnsi="Calibri" w:cs="Latha"/>
          <w:kern w:val="0"/>
          <w:sz w:val="22"/>
        </w:rPr>
        <w:t>: Mean particle size, RH: Relative humidity, P: Paste, M: Mortar (cement: sand), C: Concrete (cement: sand: aggregate), d: day</w:t>
      </w:r>
    </w:p>
    <w:p w14:paraId="372E12C9" w14:textId="77777777" w:rsidR="00D76C75" w:rsidRPr="00704E49" w:rsidRDefault="00D76C75" w:rsidP="00D76C75">
      <w:pPr>
        <w:widowControl/>
        <w:spacing w:after="160" w:line="259" w:lineRule="auto"/>
        <w:jc w:val="left"/>
        <w:rPr>
          <w:rFonts w:ascii="Calibri" w:eastAsia="等线" w:hAnsi="Calibri" w:cs="Arial"/>
          <w:kern w:val="0"/>
          <w:sz w:val="22"/>
          <w:lang w:eastAsia="en-US"/>
        </w:rPr>
      </w:pPr>
    </w:p>
    <w:p w14:paraId="7D9379F0" w14:textId="77777777" w:rsidR="00D76C75" w:rsidRPr="00704E49" w:rsidRDefault="00D76C75" w:rsidP="00D76C75">
      <w:pPr>
        <w:widowControl/>
        <w:spacing w:after="160" w:line="259" w:lineRule="auto"/>
        <w:jc w:val="left"/>
        <w:rPr>
          <w:rFonts w:ascii="Calibri" w:eastAsia="等线" w:hAnsi="Calibri" w:cs="Arial"/>
          <w:kern w:val="0"/>
          <w:sz w:val="22"/>
        </w:rPr>
      </w:pPr>
      <w:r w:rsidRPr="00704E49">
        <w:rPr>
          <w:rFonts w:ascii="Calibri" w:eastAsia="等线" w:hAnsi="Calibri" w:cs="Arial"/>
          <w:kern w:val="0"/>
          <w:sz w:val="22"/>
        </w:rPr>
        <w:br w:type="page"/>
      </w:r>
    </w:p>
    <w:p w14:paraId="1DB9F2FC" w14:textId="7536A7D5" w:rsidR="00D76C75" w:rsidRPr="00704E49" w:rsidRDefault="00D76C75" w:rsidP="00D76C75">
      <w:pPr>
        <w:keepNext/>
        <w:widowControl/>
        <w:spacing w:after="200"/>
        <w:jc w:val="center"/>
        <w:rPr>
          <w:rFonts w:ascii="Calibri" w:eastAsia="宋体" w:hAnsi="Calibri" w:cs="Arial"/>
          <w:b/>
          <w:bCs/>
          <w:kern w:val="0"/>
          <w:sz w:val="18"/>
          <w:szCs w:val="18"/>
          <w:lang w:eastAsia="en-US"/>
        </w:rPr>
      </w:pPr>
      <w:bookmarkStart w:id="10" w:name="_Ref187861483"/>
      <w:r w:rsidRPr="00704E49">
        <w:rPr>
          <w:rFonts w:ascii="Calibri" w:eastAsia="宋体" w:hAnsi="Calibri" w:cs="Arial"/>
          <w:b/>
          <w:bCs/>
          <w:kern w:val="0"/>
          <w:sz w:val="18"/>
          <w:szCs w:val="18"/>
          <w:lang w:eastAsia="en-US"/>
        </w:rPr>
        <w:lastRenderedPageBreak/>
        <w:t xml:space="preserve">Table S </w:t>
      </w:r>
      <w:r w:rsidRPr="00704E49">
        <w:rPr>
          <w:rFonts w:ascii="Calibri" w:eastAsia="宋体" w:hAnsi="Calibri" w:cs="Arial"/>
          <w:b/>
          <w:bCs/>
          <w:kern w:val="0"/>
          <w:sz w:val="18"/>
          <w:szCs w:val="18"/>
          <w:lang w:eastAsia="en-US"/>
        </w:rPr>
        <w:fldChar w:fldCharType="begin"/>
      </w:r>
      <w:r w:rsidRPr="00704E49">
        <w:rPr>
          <w:rFonts w:ascii="Calibri" w:eastAsia="宋体" w:hAnsi="Calibri" w:cs="Arial"/>
          <w:b/>
          <w:bCs/>
          <w:kern w:val="0"/>
          <w:sz w:val="18"/>
          <w:szCs w:val="18"/>
          <w:lang w:eastAsia="en-US"/>
        </w:rPr>
        <w:instrText xml:space="preserve"> SEQ Table_S \* ARABIC </w:instrText>
      </w:r>
      <w:r w:rsidRPr="00704E49">
        <w:rPr>
          <w:rFonts w:ascii="Calibri" w:eastAsia="宋体" w:hAnsi="Calibri" w:cs="Arial"/>
          <w:b/>
          <w:bCs/>
          <w:kern w:val="0"/>
          <w:sz w:val="18"/>
          <w:szCs w:val="18"/>
          <w:lang w:eastAsia="en-US"/>
        </w:rPr>
        <w:fldChar w:fldCharType="separate"/>
      </w:r>
      <w:r w:rsidR="004A38FA" w:rsidRPr="00704E49">
        <w:rPr>
          <w:rFonts w:ascii="Calibri" w:eastAsia="宋体" w:hAnsi="Calibri" w:cs="Arial"/>
          <w:b/>
          <w:bCs/>
          <w:noProof/>
          <w:kern w:val="0"/>
          <w:sz w:val="18"/>
          <w:szCs w:val="18"/>
          <w:lang w:eastAsia="en-US"/>
        </w:rPr>
        <w:t>3</w:t>
      </w:r>
      <w:r w:rsidRPr="00704E49">
        <w:rPr>
          <w:rFonts w:ascii="Calibri" w:eastAsia="宋体" w:hAnsi="Calibri" w:cs="Arial"/>
          <w:b/>
          <w:bCs/>
          <w:kern w:val="0"/>
          <w:sz w:val="18"/>
          <w:szCs w:val="18"/>
          <w:lang w:eastAsia="en-US"/>
        </w:rPr>
        <w:fldChar w:fldCharType="end"/>
      </w:r>
      <w:bookmarkEnd w:id="10"/>
      <w:r w:rsidRPr="00704E49">
        <w:rPr>
          <w:rFonts w:ascii="Calibri" w:eastAsia="宋体" w:hAnsi="Calibri" w:cs="Arial"/>
          <w:b/>
          <w:bCs/>
          <w:kern w:val="0"/>
          <w:sz w:val="18"/>
          <w:szCs w:val="18"/>
        </w:rPr>
        <w:t xml:space="preserve"> Compressive </w:t>
      </w:r>
      <w:r w:rsidRPr="00704E49">
        <w:rPr>
          <w:rFonts w:ascii="Calibri" w:eastAsia="宋体" w:hAnsi="Calibri" w:cs="Arial" w:hint="eastAsia"/>
          <w:b/>
          <w:bCs/>
          <w:kern w:val="0"/>
          <w:sz w:val="18"/>
          <w:szCs w:val="18"/>
        </w:rPr>
        <w:t>s</w:t>
      </w:r>
      <w:r w:rsidRPr="00704E49">
        <w:rPr>
          <w:rFonts w:ascii="Calibri" w:eastAsia="宋体" w:hAnsi="Calibri" w:cs="Arial"/>
          <w:b/>
          <w:bCs/>
          <w:kern w:val="0"/>
          <w:sz w:val="18"/>
          <w:szCs w:val="18"/>
        </w:rPr>
        <w:t xml:space="preserve">trength and </w:t>
      </w:r>
      <w:r w:rsidRPr="00704E49">
        <w:rPr>
          <w:rFonts w:ascii="Calibri" w:eastAsia="宋体" w:hAnsi="Calibri" w:cs="Arial" w:hint="eastAsia"/>
          <w:b/>
          <w:bCs/>
          <w:kern w:val="0"/>
          <w:sz w:val="18"/>
          <w:szCs w:val="18"/>
        </w:rPr>
        <w:t xml:space="preserve">calculated </w:t>
      </w:r>
      <w:r w:rsidRPr="00704E49">
        <w:rPr>
          <w:rFonts w:ascii="Calibri" w:eastAsia="宋体" w:hAnsi="Calibri" w:cs="Arial"/>
          <w:b/>
          <w:bCs/>
          <w:kern w:val="0"/>
          <w:sz w:val="18"/>
          <w:szCs w:val="18"/>
        </w:rPr>
        <w:t xml:space="preserve">Ash Impact Strength Index (AISI) for </w:t>
      </w:r>
      <w:r w:rsidRPr="00704E49">
        <w:rPr>
          <w:rFonts w:ascii="Calibri" w:eastAsia="宋体" w:hAnsi="Calibri" w:cs="Arial" w:hint="eastAsia"/>
          <w:b/>
          <w:bCs/>
          <w:kern w:val="0"/>
          <w:sz w:val="18"/>
          <w:szCs w:val="18"/>
        </w:rPr>
        <w:t>c</w:t>
      </w:r>
      <w:r w:rsidRPr="00704E49">
        <w:rPr>
          <w:rFonts w:ascii="Calibri" w:eastAsia="宋体" w:hAnsi="Calibri" w:cs="Arial"/>
          <w:b/>
          <w:bCs/>
          <w:kern w:val="0"/>
          <w:sz w:val="18"/>
          <w:szCs w:val="18"/>
        </w:rPr>
        <w:t xml:space="preserve">ement </w:t>
      </w:r>
      <w:r w:rsidRPr="00704E49">
        <w:rPr>
          <w:rFonts w:ascii="Calibri" w:eastAsia="宋体" w:hAnsi="Calibri" w:cs="Arial" w:hint="eastAsia"/>
          <w:b/>
          <w:bCs/>
          <w:kern w:val="0"/>
          <w:sz w:val="18"/>
          <w:szCs w:val="18"/>
        </w:rPr>
        <w:t>s</w:t>
      </w:r>
      <w:r w:rsidRPr="00704E49">
        <w:rPr>
          <w:rFonts w:ascii="Calibri" w:eastAsia="宋体" w:hAnsi="Calibri" w:cs="Arial"/>
          <w:b/>
          <w:bCs/>
          <w:kern w:val="0"/>
          <w:sz w:val="18"/>
          <w:szCs w:val="18"/>
        </w:rPr>
        <w:t xml:space="preserve">amples with and without MSWI </w:t>
      </w:r>
      <w:r w:rsidR="00563ECF" w:rsidRPr="00704E49">
        <w:rPr>
          <w:rFonts w:ascii="Calibri" w:eastAsia="宋体" w:hAnsi="Calibri" w:cs="Arial"/>
          <w:b/>
          <w:bCs/>
          <w:kern w:val="0"/>
          <w:sz w:val="18"/>
          <w:szCs w:val="18"/>
        </w:rPr>
        <w:t>b</w:t>
      </w:r>
      <w:r w:rsidRPr="00704E49">
        <w:rPr>
          <w:rFonts w:ascii="Calibri" w:eastAsia="宋体" w:hAnsi="Calibri" w:cs="Arial"/>
          <w:b/>
          <w:bCs/>
          <w:kern w:val="0"/>
          <w:sz w:val="18"/>
          <w:szCs w:val="18"/>
        </w:rPr>
        <w:t xml:space="preserve">ottom </w:t>
      </w:r>
      <w:r w:rsidR="00563ECF" w:rsidRPr="00704E49">
        <w:rPr>
          <w:rFonts w:ascii="Calibri" w:eastAsia="宋体" w:hAnsi="Calibri" w:cs="Arial"/>
          <w:b/>
          <w:bCs/>
          <w:kern w:val="0"/>
          <w:sz w:val="18"/>
          <w:szCs w:val="18"/>
        </w:rPr>
        <w:t>a</w:t>
      </w:r>
      <w:r w:rsidRPr="00704E49">
        <w:rPr>
          <w:rFonts w:ascii="Calibri" w:eastAsia="宋体" w:hAnsi="Calibri" w:cs="Arial"/>
          <w:b/>
          <w:bCs/>
          <w:kern w:val="0"/>
          <w:sz w:val="18"/>
          <w:szCs w:val="18"/>
        </w:rPr>
        <w:t>sh</w:t>
      </w:r>
      <w:r w:rsidRPr="00704E49">
        <w:rPr>
          <w:rFonts w:ascii="Calibri" w:eastAsia="宋体" w:hAnsi="Calibri" w:cs="Arial" w:hint="eastAsia"/>
          <w:b/>
          <w:bCs/>
          <w:kern w:val="0"/>
          <w:sz w:val="18"/>
          <w:szCs w:val="18"/>
        </w:rPr>
        <w:t>.</w:t>
      </w:r>
    </w:p>
    <w:tbl>
      <w:tblPr>
        <w:tblStyle w:val="PlainTable211"/>
        <w:tblW w:w="0" w:type="auto"/>
        <w:jc w:val="center"/>
        <w:tblLook w:val="04A0" w:firstRow="1" w:lastRow="0" w:firstColumn="1" w:lastColumn="0" w:noHBand="0" w:noVBand="1"/>
      </w:tblPr>
      <w:tblGrid>
        <w:gridCol w:w="1989"/>
        <w:gridCol w:w="1984"/>
        <w:gridCol w:w="1996"/>
        <w:gridCol w:w="1999"/>
        <w:gridCol w:w="1995"/>
        <w:gridCol w:w="1996"/>
        <w:gridCol w:w="1999"/>
      </w:tblGrid>
      <w:tr w:rsidR="00D76C75" w:rsidRPr="00704E49" w14:paraId="6811C0BA" w14:textId="77777777" w:rsidTr="00AC06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Borders>
              <w:bottom w:val="single" w:sz="4" w:space="0" w:color="auto"/>
            </w:tcBorders>
            <w:vAlign w:val="center"/>
            <w:hideMark/>
          </w:tcPr>
          <w:p w14:paraId="01AB7EB3" w14:textId="77777777" w:rsidR="00D76C75" w:rsidRPr="00704E49" w:rsidRDefault="00D76C75" w:rsidP="00D76C75">
            <w:pPr>
              <w:widowControl/>
              <w:jc w:val="left"/>
              <w:rPr>
                <w:rFonts w:ascii="Aptos" w:eastAsia="等线" w:hAnsi="Aptos" w:cs="Arial"/>
                <w:sz w:val="16"/>
                <w:szCs w:val="16"/>
                <w:lang w:val="en-GB"/>
                <w14:ligatures w14:val="standardContextual"/>
              </w:rPr>
            </w:pPr>
            <w:proofErr w:type="spellStart"/>
            <w:r w:rsidRPr="00704E49">
              <w:rPr>
                <w:rFonts w:ascii="Calibri" w:eastAsia="等线" w:hAnsi="Calibri" w:cs="Calibri"/>
                <w:sz w:val="16"/>
                <w:szCs w:val="16"/>
              </w:rPr>
              <w:t>References</w:t>
            </w:r>
            <w:proofErr w:type="spellEnd"/>
          </w:p>
        </w:tc>
        <w:tc>
          <w:tcPr>
            <w:tcW w:w="1986" w:type="dxa"/>
            <w:tcBorders>
              <w:bottom w:val="single" w:sz="4" w:space="0" w:color="auto"/>
            </w:tcBorders>
            <w:vAlign w:val="center"/>
            <w:hideMark/>
          </w:tcPr>
          <w:p w14:paraId="2B2841A4"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28-day Compressive strength of reference sample (MPa)</w:t>
            </w:r>
          </w:p>
        </w:tc>
        <w:tc>
          <w:tcPr>
            <w:tcW w:w="1997" w:type="dxa"/>
            <w:tcBorders>
              <w:bottom w:val="single" w:sz="4" w:space="0" w:color="auto"/>
            </w:tcBorders>
            <w:vAlign w:val="center"/>
            <w:hideMark/>
          </w:tcPr>
          <w:p w14:paraId="426AF54A"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28-day Compressive strength of sample prepared using MSWI bottom ash as supplementary cementitious material (MPa)</w:t>
            </w:r>
          </w:p>
        </w:tc>
        <w:tc>
          <w:tcPr>
            <w:tcW w:w="2001" w:type="dxa"/>
            <w:tcBorders>
              <w:bottom w:val="single" w:sz="4" w:space="0" w:color="auto"/>
            </w:tcBorders>
            <w:vAlign w:val="center"/>
            <w:hideMark/>
          </w:tcPr>
          <w:p w14:paraId="1C50F805"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hint="eastAsia"/>
                <w:sz w:val="16"/>
                <w:szCs w:val="16"/>
                <w:lang w:val="en-GB"/>
              </w:rPr>
              <w:t xml:space="preserve">28-day Ash Impact Strength </w:t>
            </w:r>
            <w:r w:rsidRPr="00704E49">
              <w:rPr>
                <w:rFonts w:ascii="Calibri" w:eastAsia="等线" w:hAnsi="Calibri" w:cs="Calibri"/>
                <w:sz w:val="16"/>
                <w:szCs w:val="16"/>
                <w:lang w:val="en-GB"/>
              </w:rPr>
              <w:t>Index</w:t>
            </w:r>
            <w:r w:rsidRPr="00704E49">
              <w:rPr>
                <w:rFonts w:ascii="Calibri" w:eastAsia="等线" w:hAnsi="Calibri" w:cs="Calibri" w:hint="eastAsia"/>
                <w:sz w:val="16"/>
                <w:szCs w:val="16"/>
                <w:lang w:val="en-GB"/>
              </w:rPr>
              <w:t xml:space="preserve"> (AISI)*</w:t>
            </w:r>
          </w:p>
        </w:tc>
        <w:tc>
          <w:tcPr>
            <w:tcW w:w="1997" w:type="dxa"/>
            <w:tcBorders>
              <w:bottom w:val="single" w:sz="4" w:space="0" w:color="auto"/>
            </w:tcBorders>
            <w:vAlign w:val="center"/>
            <w:hideMark/>
          </w:tcPr>
          <w:p w14:paraId="69478D03"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90-day Compressive strength of reference sample (MPa)</w:t>
            </w:r>
          </w:p>
        </w:tc>
        <w:tc>
          <w:tcPr>
            <w:tcW w:w="1997" w:type="dxa"/>
            <w:tcBorders>
              <w:bottom w:val="single" w:sz="4" w:space="0" w:color="auto"/>
            </w:tcBorders>
            <w:vAlign w:val="center"/>
            <w:hideMark/>
          </w:tcPr>
          <w:p w14:paraId="78F9AAF1"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90-day Compressive strength of sample prepared using MSWI bottom ash as supplementary cementitious material (MPa)</w:t>
            </w:r>
          </w:p>
        </w:tc>
        <w:tc>
          <w:tcPr>
            <w:tcW w:w="2001" w:type="dxa"/>
            <w:tcBorders>
              <w:bottom w:val="single" w:sz="4" w:space="0" w:color="auto"/>
            </w:tcBorders>
            <w:vAlign w:val="center"/>
            <w:hideMark/>
          </w:tcPr>
          <w:p w14:paraId="1D1FCD40" w14:textId="77777777" w:rsidR="00D76C75" w:rsidRPr="00704E49" w:rsidRDefault="00D76C75" w:rsidP="00D76C75">
            <w:pPr>
              <w:widowControl/>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hint="eastAsia"/>
                <w:sz w:val="16"/>
                <w:szCs w:val="16"/>
                <w:lang w:val="en-GB"/>
              </w:rPr>
              <w:t>90</w:t>
            </w:r>
            <w:r w:rsidRPr="00704E49">
              <w:rPr>
                <w:rFonts w:ascii="Calibri" w:eastAsia="等线" w:hAnsi="Calibri" w:cs="Calibri"/>
                <w:sz w:val="16"/>
                <w:szCs w:val="16"/>
                <w:lang w:val="en-GB"/>
              </w:rPr>
              <w:t>-day Ash Impact Strength Index (AISI)</w:t>
            </w:r>
            <w:r w:rsidRPr="00704E49">
              <w:rPr>
                <w:rFonts w:ascii="Calibri" w:eastAsia="等线" w:hAnsi="Calibri" w:cs="Calibri" w:hint="eastAsia"/>
                <w:sz w:val="16"/>
                <w:szCs w:val="16"/>
                <w:lang w:val="en-GB"/>
              </w:rPr>
              <w:t>*</w:t>
            </w:r>
          </w:p>
        </w:tc>
      </w:tr>
      <w:tr w:rsidR="00D76C75" w:rsidRPr="00704E49" w14:paraId="7E0EB86A"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tcBorders>
              <w:top w:val="single" w:sz="4" w:space="0" w:color="auto"/>
              <w:bottom w:val="nil"/>
            </w:tcBorders>
            <w:vAlign w:val="center"/>
            <w:hideMark/>
          </w:tcPr>
          <w:p w14:paraId="0C1B8D6B" w14:textId="00BEBEEB"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{"citationItems":[{"id":"ITEM-1","itemData":{"DOI":"10.1016/j.conbuildmat.2020.120485","ISBN":"0950-0618","ISSN":"09500618","abstract":"Two billion tonnes of municipal solid wastes are generated globally, and incineration of non-recyclable wastes is done extensively in developed countries. A large part of the resulting ashes remains unutilized due to various obstacles and ends up in landfills. Use in concrete as aggregate or supplementary cementitious material is a potential high value application, which is deterred mainly by presence of metallic aluminium that causes cracks from aluminium hydroxide formation and high porosity from hydrogen release on reaction with water. Various researchers have used treatment with alkalis prior to utilization as a mitigation strategy. This paper studied an alternative technique, pre-treatment by immersing ash in water allowing the aluminium to react in presence of inherent alkalis in the ash and accelerating the reaction by increasing temperature. The effect of this treatment on mitigating expansion and hydration and strength development of mortar with 25% replacement of cement by ash has been studied and is reported in this article. The treatment was found to be effective and the strength of mortar with 25% pre-treated ash replacement exceeded 85% of that of the control mortar at 90 days of age. A possible beneficiation scheme for the industrial treatment of ashes to maximise the resource utilisation is also proposed.","author":[{"dropping-particle":"","family":"Joseph","given":"Aneeta Mary","non-dropping-particle":"","parse-names":false,"suffix":""},{"dropping-particle":"","family":"Snellings","given":"Ruben","non-dropping-particle":"","parse-names":false,"suffix":""},{"dropping-particle":"","family":"Nielsen","given":"Peter","non-dropping-particle":"","parse-names":false,"suffix":""},{"dropping-particle":"","family":"Matthys","given":"Stijn","non-dropping-particle":"","parse-names":false,"suffix":""},{"dropping-particle":"De","family":"Belie","given":"Nele","non-dropping-particle":"","parse-names":false,"suffix":""}],"container-title":"Construction and Building Materials","id":"ITEM-1","issued":{"date-parts":[["2020"]]},"page":"120485","publisher":"Elsevier Ltd","title":"Pre-treatment and utilisation of municipal solid waste incineration bottom ashes towards a circular economy","type":"article-journal","volume":"260"},"uris":["http://www.mendeley.com/documents/?uuid=60ec89bb-3719-4d61-ac1d-d42a5f838475"]}],"mendeley":{"formattedCitation":"(Aneeta Mary Joseph et al., 2020)","plainTextFormattedCitation":"(Aneeta Mary Joseph et al., 2020)","previouslyFormattedCitation":"(Aneeta Mary Joseph et al., 2020)"},"properties":{"noteIndex":0},"schema":"https://github.com/citation-style-language/schema/raw/master/csl-citation.json"}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(Aneeta Mary Joseph et al., 2020)</w:t>
            </w:r>
            <w:r w:rsidRPr="00704E49">
              <w:rPr>
                <w:rFonts w:ascii="Calibri" w:eastAsia="等线" w:hAnsi="Calibri" w:cs="Arial"/>
                <w:sz w:val="18"/>
                <w:szCs w:val="18"/>
                <w:lang w:val="en-GB"/>
              </w:rPr>
              <w:fldChar w:fldCharType="end"/>
            </w:r>
          </w:p>
        </w:tc>
        <w:tc>
          <w:tcPr>
            <w:tcW w:w="1986" w:type="dxa"/>
            <w:tcBorders>
              <w:top w:val="single" w:sz="4" w:space="0" w:color="auto"/>
              <w:bottom w:val="nil"/>
            </w:tcBorders>
            <w:vAlign w:val="center"/>
            <w:hideMark/>
          </w:tcPr>
          <w:p w14:paraId="180D004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single" w:sz="4" w:space="0" w:color="auto"/>
              <w:bottom w:val="nil"/>
            </w:tcBorders>
            <w:vAlign w:val="center"/>
            <w:hideMark/>
          </w:tcPr>
          <w:p w14:paraId="45D0D61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2001" w:type="dxa"/>
            <w:tcBorders>
              <w:top w:val="single" w:sz="4" w:space="0" w:color="auto"/>
              <w:bottom w:val="nil"/>
            </w:tcBorders>
            <w:vAlign w:val="center"/>
            <w:hideMark/>
          </w:tcPr>
          <w:p w14:paraId="77B348C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0.63</w:t>
            </w:r>
          </w:p>
        </w:tc>
        <w:tc>
          <w:tcPr>
            <w:tcW w:w="1997" w:type="dxa"/>
            <w:tcBorders>
              <w:top w:val="single" w:sz="4" w:space="0" w:color="auto"/>
              <w:bottom w:val="nil"/>
            </w:tcBorders>
            <w:vAlign w:val="center"/>
            <w:hideMark/>
          </w:tcPr>
          <w:p w14:paraId="33FC4BF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auto"/>
              <w:bottom w:val="nil"/>
            </w:tcBorders>
            <w:vAlign w:val="center"/>
            <w:hideMark/>
          </w:tcPr>
          <w:p w14:paraId="70FA3F6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auto"/>
              <w:bottom w:val="nil"/>
            </w:tcBorders>
            <w:vAlign w:val="center"/>
            <w:hideMark/>
          </w:tcPr>
          <w:p w14:paraId="4B5E5C7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3398A7F"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15C5C3A1"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5EEEBA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07777C8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2001" w:type="dxa"/>
            <w:tcBorders>
              <w:top w:val="nil"/>
              <w:bottom w:val="nil"/>
            </w:tcBorders>
            <w:vAlign w:val="center"/>
            <w:hideMark/>
          </w:tcPr>
          <w:p w14:paraId="0DF02D1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0.67</w:t>
            </w:r>
          </w:p>
        </w:tc>
        <w:tc>
          <w:tcPr>
            <w:tcW w:w="1997" w:type="dxa"/>
            <w:tcBorders>
              <w:top w:val="nil"/>
              <w:bottom w:val="nil"/>
            </w:tcBorders>
            <w:vAlign w:val="center"/>
            <w:hideMark/>
          </w:tcPr>
          <w:p w14:paraId="51FDB49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69</w:t>
            </w:r>
          </w:p>
        </w:tc>
        <w:tc>
          <w:tcPr>
            <w:tcW w:w="1997" w:type="dxa"/>
            <w:tcBorders>
              <w:top w:val="nil"/>
              <w:bottom w:val="nil"/>
            </w:tcBorders>
            <w:vAlign w:val="center"/>
            <w:hideMark/>
          </w:tcPr>
          <w:p w14:paraId="0D06401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49.4</w:t>
            </w:r>
          </w:p>
        </w:tc>
        <w:tc>
          <w:tcPr>
            <w:tcW w:w="2001" w:type="dxa"/>
            <w:tcBorders>
              <w:top w:val="nil"/>
              <w:bottom w:val="nil"/>
            </w:tcBorders>
            <w:vAlign w:val="center"/>
            <w:hideMark/>
          </w:tcPr>
          <w:p w14:paraId="43D5FC3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14:ligatures w14:val="standardContextual"/>
              </w:rPr>
            </w:pPr>
            <w:r w:rsidRPr="00704E49">
              <w:rPr>
                <w:rFonts w:ascii="Calibri" w:eastAsia="等线" w:hAnsi="Calibri" w:cs="Calibri"/>
                <w:sz w:val="18"/>
                <w:szCs w:val="18"/>
                <w:lang w:val="en-GB"/>
                <w14:ligatures w14:val="standardContextual"/>
              </w:rPr>
              <w:t>0.72</w:t>
            </w:r>
          </w:p>
        </w:tc>
      </w:tr>
      <w:tr w:rsidR="00D76C75" w:rsidRPr="00704E49" w14:paraId="2180DE7F"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5182ECAC"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6BE67B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719DB12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31</w:t>
            </w:r>
          </w:p>
        </w:tc>
        <w:tc>
          <w:tcPr>
            <w:tcW w:w="2001" w:type="dxa"/>
            <w:tcBorders>
              <w:top w:val="nil"/>
              <w:bottom w:val="nil"/>
            </w:tcBorders>
            <w:vAlign w:val="center"/>
            <w:hideMark/>
          </w:tcPr>
          <w:p w14:paraId="49A2A8B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0.48</w:t>
            </w:r>
          </w:p>
        </w:tc>
        <w:tc>
          <w:tcPr>
            <w:tcW w:w="1997" w:type="dxa"/>
            <w:tcBorders>
              <w:top w:val="nil"/>
              <w:bottom w:val="nil"/>
            </w:tcBorders>
            <w:vAlign w:val="center"/>
            <w:hideMark/>
          </w:tcPr>
          <w:p w14:paraId="002F7C7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38C721C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A6861E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70121FD2"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67E4601D"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3F48184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4BD8D45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41</w:t>
            </w:r>
          </w:p>
        </w:tc>
        <w:tc>
          <w:tcPr>
            <w:tcW w:w="2001" w:type="dxa"/>
            <w:tcBorders>
              <w:top w:val="nil"/>
              <w:bottom w:val="nil"/>
            </w:tcBorders>
            <w:vAlign w:val="center"/>
            <w:hideMark/>
          </w:tcPr>
          <w:p w14:paraId="5856879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0.64</w:t>
            </w:r>
          </w:p>
        </w:tc>
        <w:tc>
          <w:tcPr>
            <w:tcW w:w="1997" w:type="dxa"/>
            <w:tcBorders>
              <w:top w:val="nil"/>
              <w:bottom w:val="nil"/>
            </w:tcBorders>
            <w:vAlign w:val="center"/>
            <w:hideMark/>
          </w:tcPr>
          <w:p w14:paraId="0A9D577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5132653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15621D7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4CBAAF0"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025BAC36"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11EA3CE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622F46F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52.5</w:t>
            </w:r>
          </w:p>
        </w:tc>
        <w:tc>
          <w:tcPr>
            <w:tcW w:w="2001" w:type="dxa"/>
            <w:tcBorders>
              <w:top w:val="nil"/>
              <w:bottom w:val="nil"/>
            </w:tcBorders>
            <w:vAlign w:val="center"/>
            <w:hideMark/>
          </w:tcPr>
          <w:p w14:paraId="4AC2EC9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0.82</w:t>
            </w:r>
          </w:p>
        </w:tc>
        <w:tc>
          <w:tcPr>
            <w:tcW w:w="1997" w:type="dxa"/>
            <w:tcBorders>
              <w:top w:val="nil"/>
              <w:bottom w:val="nil"/>
            </w:tcBorders>
            <w:vAlign w:val="center"/>
            <w:hideMark/>
          </w:tcPr>
          <w:p w14:paraId="32FB3BC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B31938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67F6093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4ECF935B"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single" w:sz="4" w:space="0" w:color="auto"/>
            </w:tcBorders>
            <w:vAlign w:val="center"/>
            <w:hideMark/>
          </w:tcPr>
          <w:p w14:paraId="7469A8FA"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single" w:sz="4" w:space="0" w:color="auto"/>
            </w:tcBorders>
            <w:vAlign w:val="center"/>
            <w:hideMark/>
          </w:tcPr>
          <w:p w14:paraId="14847F5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single" w:sz="4" w:space="0" w:color="auto"/>
            </w:tcBorders>
            <w:vAlign w:val="center"/>
            <w:hideMark/>
          </w:tcPr>
          <w:p w14:paraId="3A155A6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2001" w:type="dxa"/>
            <w:tcBorders>
              <w:top w:val="nil"/>
              <w:bottom w:val="single" w:sz="4" w:space="0" w:color="auto"/>
            </w:tcBorders>
            <w:vAlign w:val="center"/>
            <w:hideMark/>
          </w:tcPr>
          <w:p w14:paraId="603A3E0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0.67</w:t>
            </w:r>
          </w:p>
        </w:tc>
        <w:tc>
          <w:tcPr>
            <w:tcW w:w="1997" w:type="dxa"/>
            <w:tcBorders>
              <w:top w:val="nil"/>
              <w:bottom w:val="single" w:sz="4" w:space="0" w:color="auto"/>
            </w:tcBorders>
            <w:vAlign w:val="center"/>
            <w:hideMark/>
          </w:tcPr>
          <w:p w14:paraId="356A116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69</w:t>
            </w:r>
          </w:p>
        </w:tc>
        <w:tc>
          <w:tcPr>
            <w:tcW w:w="1997" w:type="dxa"/>
            <w:tcBorders>
              <w:top w:val="nil"/>
              <w:bottom w:val="single" w:sz="4" w:space="0" w:color="auto"/>
            </w:tcBorders>
            <w:vAlign w:val="center"/>
            <w:hideMark/>
          </w:tcPr>
          <w:p w14:paraId="412B1A4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61</w:t>
            </w:r>
          </w:p>
        </w:tc>
        <w:tc>
          <w:tcPr>
            <w:tcW w:w="2001" w:type="dxa"/>
            <w:tcBorders>
              <w:top w:val="nil"/>
              <w:bottom w:val="single" w:sz="4" w:space="0" w:color="auto"/>
            </w:tcBorders>
            <w:vAlign w:val="center"/>
            <w:hideMark/>
          </w:tcPr>
          <w:p w14:paraId="2D9BD88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0.88</w:t>
            </w:r>
          </w:p>
        </w:tc>
      </w:tr>
      <w:tr w:rsidR="00D76C75" w:rsidRPr="00704E49" w14:paraId="0000FCA7"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Borders>
              <w:top w:val="single" w:sz="4" w:space="0" w:color="auto"/>
              <w:bottom w:val="single" w:sz="4" w:space="0" w:color="auto"/>
            </w:tcBorders>
            <w:vAlign w:val="center"/>
            <w:hideMark/>
          </w:tcPr>
          <w:p w14:paraId="0C54E6C0" w14:textId="5EB6DDFF"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{"citationItems":[{"id":"ITEM-1","itemData":{"DOI":"10.1016/j.resconrec.2020.105356","ISSN":"18790658","abstract":"An effective approach to reduce the enormous volume of non-hazardous non-recyclable waste (namely municipal solid waste, or MSW) is incineration. The incineration can be a viable solution given that landfilling of MSW is both expensive and polluting. The obtained bottom ash is a material with great potential to be used in cementitious products as partial cement replacement. This has the double advantage of reducing landfill and reducing the cement content in cementitious products (since cement is largely responsible for their carbon footprint). So far, most studies have been done at laboratory scale and mainly in pastes and mortars. In this research, the valorisation of ground MSW incineration (MSWI) bottom ash as substitute for Portland cement in concrete is analysed. This work presents the insights obtained regarding the use of MSWI ashes as binder in concrete, and their constitutive behaviour in terms of fresh and hardened properties, as well as durability properties. As a result, a well-performing concrete mix containing processed MSWI ashes as 20% of the binder has been designed. Quantification of the overall sustainability, in relation to the expected environmental impact, was also performed considering a preliminary life cycle assessment. The valorisation of the studied ashes by their use in concrete is a promising path to increase the sustainability of concrete and to upscale a waste product.","author":[{"dropping-particle":"","family":"Alderete","given":"N M","non-dropping-particle":"","parse-names":false,"suffix":""},{"dropping-particle":"","family":"Joseph","given":"A M","non-dropping-particle":"","parse-names":false,"suffix":""},{"dropping-particle":"Van","family":"Heede","given":"P","non-dropping-particle":"den","parse-names":false,"suffix":""},{"dropping-particle":"","family":"Matthys","given":"S","non-dropping-particle":"","parse-names":false,"suffix":""},{"dropping-particle":"De","family":"Belie","given":"N","non-dropping-particle":"","parse-names":false,"suffix":""}],"container-title":"Resources, Conservation and Recycling","id":"ITEM-1","issued":{"date-parts":[["2021"]]},"publisher":"Elsevier B.V.","title":"Effective and sustainable use of municipal solid waste incineration bottom ash in concrete regarding strength and durability","type":"article-journal","volume":"167"},"uris":["http://www.mendeley.com/documents/?uuid=6bee21eb-44ce-47bf-b1f7-0e3b7e78aec5"]}],"mendeley":{"formattedCitation":"(Alderete et al., 2021)","plainTextFormattedCitation":"(Alderete et al., 2021)","previouslyFormattedCitation":"(Alderete et al., 2021)"},"properties":{"noteIndex":0},"schema":"https://github.com/citation-style-language/schema/raw/master/csl-citation.json"}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(Alderete et al., 2021)</w:t>
            </w:r>
            <w:r w:rsidRPr="00704E49">
              <w:rPr>
                <w:rFonts w:ascii="Calibri" w:eastAsia="等线" w:hAnsi="Calibri" w:cs="Arial"/>
                <w:sz w:val="18"/>
                <w:szCs w:val="18"/>
                <w:lang w:val="en-GB"/>
              </w:rPr>
              <w:fldChar w:fldCharType="end"/>
            </w:r>
          </w:p>
        </w:tc>
        <w:tc>
          <w:tcPr>
            <w:tcW w:w="1986" w:type="dxa"/>
            <w:tcBorders>
              <w:top w:val="single" w:sz="4" w:space="0" w:color="auto"/>
              <w:bottom w:val="single" w:sz="4" w:space="0" w:color="auto"/>
            </w:tcBorders>
            <w:vAlign w:val="center"/>
            <w:hideMark/>
          </w:tcPr>
          <w:p w14:paraId="3024FB5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w:t>
            </w:r>
          </w:p>
        </w:tc>
        <w:tc>
          <w:tcPr>
            <w:tcW w:w="1997" w:type="dxa"/>
            <w:tcBorders>
              <w:top w:val="single" w:sz="4" w:space="0" w:color="auto"/>
              <w:bottom w:val="single" w:sz="4" w:space="0" w:color="auto"/>
            </w:tcBorders>
            <w:vAlign w:val="center"/>
            <w:hideMark/>
          </w:tcPr>
          <w:p w14:paraId="15CA024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2001" w:type="dxa"/>
            <w:tcBorders>
              <w:top w:val="single" w:sz="4" w:space="0" w:color="auto"/>
              <w:bottom w:val="single" w:sz="4" w:space="0" w:color="auto"/>
            </w:tcBorders>
            <w:vAlign w:val="center"/>
            <w:hideMark/>
          </w:tcPr>
          <w:p w14:paraId="01C746C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0.77</w:t>
            </w:r>
          </w:p>
        </w:tc>
        <w:tc>
          <w:tcPr>
            <w:tcW w:w="1997" w:type="dxa"/>
            <w:tcBorders>
              <w:top w:val="single" w:sz="4" w:space="0" w:color="auto"/>
              <w:bottom w:val="single" w:sz="4" w:space="0" w:color="auto"/>
            </w:tcBorders>
            <w:vAlign w:val="center"/>
            <w:hideMark/>
          </w:tcPr>
          <w:p w14:paraId="54F3DF7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58</w:t>
            </w:r>
          </w:p>
        </w:tc>
        <w:tc>
          <w:tcPr>
            <w:tcW w:w="1997" w:type="dxa"/>
            <w:tcBorders>
              <w:top w:val="single" w:sz="4" w:space="0" w:color="auto"/>
              <w:bottom w:val="single" w:sz="4" w:space="0" w:color="auto"/>
            </w:tcBorders>
            <w:vAlign w:val="center"/>
            <w:hideMark/>
          </w:tcPr>
          <w:p w14:paraId="2AD1C76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48</w:t>
            </w:r>
          </w:p>
        </w:tc>
        <w:tc>
          <w:tcPr>
            <w:tcW w:w="2001" w:type="dxa"/>
            <w:tcBorders>
              <w:top w:val="single" w:sz="4" w:space="0" w:color="auto"/>
              <w:bottom w:val="single" w:sz="4" w:space="0" w:color="auto"/>
            </w:tcBorders>
            <w:vAlign w:val="center"/>
            <w:hideMark/>
          </w:tcPr>
          <w:p w14:paraId="4CDAC69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0.83</w:t>
            </w:r>
          </w:p>
        </w:tc>
      </w:tr>
      <w:tr w:rsidR="00D76C75" w:rsidRPr="00704E49" w14:paraId="1EA4C7E4"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tcBorders>
              <w:top w:val="single" w:sz="4" w:space="0" w:color="auto"/>
            </w:tcBorders>
            <w:vAlign w:val="center"/>
            <w:hideMark/>
          </w:tcPr>
          <w:p w14:paraId="40E940D3" w14:textId="66389E77" w:rsidR="00D76C75" w:rsidRPr="00704E49" w:rsidRDefault="00D76C75" w:rsidP="00D76C75">
            <w:pPr>
              <w:widowControl/>
              <w:jc w:val="left"/>
              <w:rPr>
                <w:rFonts w:ascii="Calibri" w:eastAsia="等线" w:hAnsi="Calibri" w:cs="Arial"/>
                <w:sz w:val="18"/>
                <w:szCs w:val="18"/>
                <w:lang w:val="en-GB"/>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{"citationItems":[{"id":"ITEM-1","itemData":{"DOI":"10.1016/j.conbuildmat.2020.120890","ISSN":"09500618","abstract":"This study evaluates the feasibility of partially replacing Portland cement in concrete with bottom ash (BA) from municipal solid waste incineration (MSWI). The challenge with this ash lies in its susceptibility to react expansively in alkaline conditions, leading to cracking when used in conventional high-slump concrete. This expansive behavior was confirmed to be the result of the dissolution of the ash's aluminum metal content and consequent formation of hydrogen gas. The aim of this study was to explore the suitability of BA as a cementitious additive in zero-slump dry-cast concrete instead. The premise was that dry-cast could better diffuse the generated gas and avoid internal pressure build-up. Results from isothermal calorimetry and thermal gravimetric analysis (TGA) clearly correlate enhancements in early-age cement hydration and pozzolanic reactivity. Scanning electron microscope (SEM) images revealed voids channels and larger aggregation formation in the BA applied concrete paste. Dry-cast concrete containing 20% BA replacement of cement exhibited higher strengths than ordinary Portland cement (OPC) reference samples at every test age up to 90 days, with the ultimate strength of BA concrete being 18% higher than that of OPC concrete. The addition of BA also improved resistance to freeze–thaw damage. The study found that MSWI-BA can impart enhancements to dry-cast concrete, qualifying it as a potentially suitable supplementary cementitious material. Use of this otherwise landfilled ash as raw feedstock in concrete-making demonstrates a greener approach to building – scoring favorably in environmental performance for being relevant to resource conservation, landfill diversion, and waste-recycling.","author":[{"dropping-particle":"","family":"Zhang","given":"Shipeng","non-dropping-particle":"","parse-names":false,"suffix":""},{"dropping-particle":"","family":"Ghouleh","given":"Zaid","non-dropping-particle":"","parse-names":false,"suffix":""},{"dropping-particle":"","family":"He","given":"Zhen","non-dropping-particle":"","parse-names":false,"suffix":""},{"dropping-particle":"","family":"Hu","given":"Lingling","non-dropping-particle":"","parse-names":false,"suffix":""},{"dropping-particle":"","family":"Shao","given":"Yixin","non-dropping-particle":"","parse-names":false,"suffix":""}],"container-title":"Construction and Building Materials","id":"ITEM-1","issued":{"date-parts":[["2021"]]},"publisher":"Elsevier Ltd","title":"Use of municipal solid waste incineration bottom ash as a supplementary cementitious material in dry-cast concrete","type":"article-journal","volume":"266"},"uris":["http://www.mendeley.com/documents/?uuid=eb5df7ad-61ef-4b0a-b27b-f6e3c94ff7fc"]}],"mendeley":{"formattedCitation":"(Zhang et al., 2021)","plainTextFormattedCitation":"(Zhang et al., 2021)","previouslyFormattedCitation":"(Zhang et al., 2021)"},"properties":{"noteIndex":0},"schema":"https://github.com/citation-style-language/schema/raw/master/csl-citation.json"}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(Zhang et al., 2021)</w:t>
            </w:r>
            <w:r w:rsidRPr="00704E49">
              <w:rPr>
                <w:rFonts w:ascii="Calibri" w:eastAsia="等线" w:hAnsi="Calibri" w:cs="Arial"/>
                <w:sz w:val="18"/>
                <w:szCs w:val="18"/>
                <w:lang w:val="en-GB"/>
              </w:rPr>
              <w:fldChar w:fldCharType="end"/>
            </w:r>
          </w:p>
        </w:tc>
        <w:tc>
          <w:tcPr>
            <w:tcW w:w="1986" w:type="dxa"/>
            <w:tcBorders>
              <w:top w:val="single" w:sz="4" w:space="0" w:color="auto"/>
              <w:bottom w:val="nil"/>
            </w:tcBorders>
            <w:vAlign w:val="center"/>
            <w:hideMark/>
          </w:tcPr>
          <w:p w14:paraId="4F68B44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23</w:t>
            </w:r>
          </w:p>
        </w:tc>
        <w:tc>
          <w:tcPr>
            <w:tcW w:w="1997" w:type="dxa"/>
            <w:tcBorders>
              <w:top w:val="single" w:sz="4" w:space="0" w:color="auto"/>
              <w:bottom w:val="nil"/>
            </w:tcBorders>
            <w:vAlign w:val="center"/>
            <w:hideMark/>
          </w:tcPr>
          <w:p w14:paraId="7ED9A0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single" w:sz="4" w:space="0" w:color="auto"/>
              <w:bottom w:val="nil"/>
            </w:tcBorders>
            <w:vAlign w:val="center"/>
            <w:hideMark/>
          </w:tcPr>
          <w:p w14:paraId="7DF10BF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1.22</w:t>
            </w:r>
          </w:p>
        </w:tc>
        <w:tc>
          <w:tcPr>
            <w:tcW w:w="1997" w:type="dxa"/>
            <w:tcBorders>
              <w:top w:val="single" w:sz="4" w:space="0" w:color="auto"/>
              <w:bottom w:val="nil"/>
            </w:tcBorders>
            <w:vAlign w:val="center"/>
            <w:hideMark/>
          </w:tcPr>
          <w:p w14:paraId="236640A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27</w:t>
            </w:r>
          </w:p>
        </w:tc>
        <w:tc>
          <w:tcPr>
            <w:tcW w:w="1997" w:type="dxa"/>
            <w:tcBorders>
              <w:top w:val="single" w:sz="4" w:space="0" w:color="auto"/>
              <w:bottom w:val="nil"/>
            </w:tcBorders>
            <w:vAlign w:val="center"/>
            <w:hideMark/>
          </w:tcPr>
          <w:p w14:paraId="24CA383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2001" w:type="dxa"/>
            <w:tcBorders>
              <w:top w:val="single" w:sz="4" w:space="0" w:color="auto"/>
              <w:bottom w:val="nil"/>
            </w:tcBorders>
            <w:vAlign w:val="center"/>
            <w:hideMark/>
          </w:tcPr>
          <w:p w14:paraId="7CDBFDC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1.19</w:t>
            </w:r>
          </w:p>
        </w:tc>
      </w:tr>
      <w:tr w:rsidR="00D76C75" w:rsidRPr="00704E49" w14:paraId="1EDD8473"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329539A4"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21D10AD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65</w:t>
            </w:r>
          </w:p>
        </w:tc>
        <w:tc>
          <w:tcPr>
            <w:tcW w:w="1997" w:type="dxa"/>
            <w:tcBorders>
              <w:top w:val="nil"/>
            </w:tcBorders>
            <w:vAlign w:val="center"/>
            <w:hideMark/>
          </w:tcPr>
          <w:p w14:paraId="6B98BD4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62</w:t>
            </w:r>
          </w:p>
        </w:tc>
        <w:tc>
          <w:tcPr>
            <w:tcW w:w="2001" w:type="dxa"/>
            <w:tcBorders>
              <w:top w:val="nil"/>
            </w:tcBorders>
            <w:vAlign w:val="center"/>
            <w:hideMark/>
          </w:tcPr>
          <w:p w14:paraId="5DA2465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0.95</w:t>
            </w:r>
          </w:p>
        </w:tc>
        <w:tc>
          <w:tcPr>
            <w:tcW w:w="1997" w:type="dxa"/>
            <w:tcBorders>
              <w:top w:val="nil"/>
            </w:tcBorders>
            <w:vAlign w:val="center"/>
            <w:hideMark/>
          </w:tcPr>
          <w:p w14:paraId="3570CF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89</w:t>
            </w:r>
          </w:p>
        </w:tc>
        <w:tc>
          <w:tcPr>
            <w:tcW w:w="1997" w:type="dxa"/>
            <w:tcBorders>
              <w:top w:val="nil"/>
            </w:tcBorders>
            <w:vAlign w:val="center"/>
            <w:hideMark/>
          </w:tcPr>
          <w:p w14:paraId="43E7339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77</w:t>
            </w:r>
          </w:p>
        </w:tc>
        <w:tc>
          <w:tcPr>
            <w:tcW w:w="2001" w:type="dxa"/>
            <w:tcBorders>
              <w:top w:val="nil"/>
            </w:tcBorders>
            <w:vAlign w:val="center"/>
            <w:hideMark/>
          </w:tcPr>
          <w:p w14:paraId="17B1E65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0.87</w:t>
            </w:r>
          </w:p>
        </w:tc>
      </w:tr>
      <w:tr w:rsidR="00D76C75" w:rsidRPr="00704E49" w14:paraId="427F0AAA"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332EED25" w14:textId="075D8D58"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{"citationItems":[{"id":"ITEM-1","itemData":{"DOI":"10.1016/j.jclepro.2012.03.038","ISSN":"09596526","abstract":"The objective of this study was to assess the feasibility of application of municipal solid waste incineration (MSWI) bottom ash as a supplementary cementitious material for the preparation of blended cement. The water demand for normal consistency, setting time, strength and hydration characteristics of MSWI bottom ash-cement compound matrices were investigated. The results show that the MSWI bottom ash has some cementitious activity, but the reactivity is relatively lower than Portland cement and its addition to cement may lead to retardation of cement hydration. The incorporation content of MSWI bottom ash in blended cements was controlled below 30%, which resulted in blended cement of strength class 32.5 according to GB 175-2007 (Chinese National Standard). It is also evident that heavy metal concentrations in leachates of the blended cements with MSWI bottom ash are far lower than recommended in the GB5085.3-2007. © 2012 Elsevier Ltd. All rights reserved.","author":[{"dropping-particle":"","family":"Li","given":"Xiang Guo","non-dropping-particle":"","parse-names":false,"suffix":""},{"dropping-particle":"","family":"Lv","given":"Yang","non-dropping-particle":"","parse-names":false,"suffix":""},{"dropping-particle":"","family":"Ma","given":"Bao Guo","non-dropping-particle":"","parse-names":false,"suffix":""},{"dropping-particle":"Bin","family":"Chen","given":"Quan","non-dropping-particle":"","parse-names":false,"suffix":""},{"dropping-particle":"","family":"Yin","given":"Xiao Bo","non-dropping-particle":"","parse-names":false,"suffix":""},{"dropping-particle":"","family":"Jian","given":"Shou Wei","non-dropping-particle":"","parse-names":false,"suffix":""}],"container-title":"Journal of Cleaner Production","id":"ITEM-1","issued":{"date-parts":[["2012"]]},"page":"96-100","title":"Utilization of municipal solid waste incineration bottom ash in blended cement","type":"article-journal","volume":"32"},"uris":["http://www.mendeley.com/documents/?uuid=bc53b3b5-b6a1-44fd-8495-41cde7cdd352"]}],"mendeley":{"formattedCitation":"(Li et al., 2012)","plainTextFormattedCitation":"(Li et al., 2012)","previouslyFormattedCitation":"(Li et al., 2012)"},"properties":{"noteIndex":0},"schema":"https://github.com/citation-style-language/schema/raw/master/csl-citation.json"}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(Li et al., 2012)</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2A4C753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1997" w:type="dxa"/>
            <w:tcBorders>
              <w:bottom w:val="nil"/>
            </w:tcBorders>
            <w:vAlign w:val="center"/>
            <w:hideMark/>
          </w:tcPr>
          <w:p w14:paraId="5239917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w:t>
            </w:r>
          </w:p>
        </w:tc>
        <w:tc>
          <w:tcPr>
            <w:tcW w:w="2001" w:type="dxa"/>
            <w:tcBorders>
              <w:bottom w:val="nil"/>
            </w:tcBorders>
            <w:vAlign w:val="center"/>
            <w:hideMark/>
          </w:tcPr>
          <w:p w14:paraId="058ECEA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0.87</w:t>
            </w:r>
          </w:p>
        </w:tc>
        <w:tc>
          <w:tcPr>
            <w:tcW w:w="1997" w:type="dxa"/>
            <w:tcBorders>
              <w:bottom w:val="nil"/>
            </w:tcBorders>
            <w:vAlign w:val="center"/>
            <w:hideMark/>
          </w:tcPr>
          <w:p w14:paraId="529A0A7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bottom w:val="nil"/>
            </w:tcBorders>
            <w:vAlign w:val="center"/>
            <w:hideMark/>
          </w:tcPr>
          <w:p w14:paraId="7A9093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bottom w:val="nil"/>
            </w:tcBorders>
            <w:vAlign w:val="center"/>
            <w:hideMark/>
          </w:tcPr>
          <w:p w14:paraId="17841DF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AD89FC5"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1EC8E57D"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1C18BC1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1997" w:type="dxa"/>
            <w:tcBorders>
              <w:top w:val="nil"/>
              <w:bottom w:val="nil"/>
            </w:tcBorders>
            <w:vAlign w:val="center"/>
            <w:hideMark/>
          </w:tcPr>
          <w:p w14:paraId="7BF3688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2001" w:type="dxa"/>
            <w:tcBorders>
              <w:top w:val="nil"/>
              <w:bottom w:val="nil"/>
            </w:tcBorders>
            <w:vAlign w:val="center"/>
            <w:hideMark/>
          </w:tcPr>
          <w:p w14:paraId="43FD33F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0.81</w:t>
            </w:r>
          </w:p>
        </w:tc>
        <w:tc>
          <w:tcPr>
            <w:tcW w:w="1997" w:type="dxa"/>
            <w:tcBorders>
              <w:top w:val="nil"/>
              <w:bottom w:val="nil"/>
            </w:tcBorders>
            <w:vAlign w:val="center"/>
            <w:hideMark/>
          </w:tcPr>
          <w:p w14:paraId="63C07F5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AE25EA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09555CD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308400E"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53760A5A"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72780A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1997" w:type="dxa"/>
            <w:tcBorders>
              <w:top w:val="nil"/>
              <w:bottom w:val="nil"/>
            </w:tcBorders>
            <w:vAlign w:val="center"/>
            <w:hideMark/>
          </w:tcPr>
          <w:p w14:paraId="024991A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39</w:t>
            </w:r>
          </w:p>
        </w:tc>
        <w:tc>
          <w:tcPr>
            <w:tcW w:w="2001" w:type="dxa"/>
            <w:tcBorders>
              <w:top w:val="nil"/>
              <w:bottom w:val="nil"/>
            </w:tcBorders>
            <w:vAlign w:val="center"/>
            <w:hideMark/>
          </w:tcPr>
          <w:p w14:paraId="5B64968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0.74</w:t>
            </w:r>
          </w:p>
        </w:tc>
        <w:tc>
          <w:tcPr>
            <w:tcW w:w="1997" w:type="dxa"/>
            <w:tcBorders>
              <w:top w:val="nil"/>
              <w:bottom w:val="nil"/>
            </w:tcBorders>
            <w:vAlign w:val="center"/>
            <w:hideMark/>
          </w:tcPr>
          <w:p w14:paraId="3CF0302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574615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CC66B1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C679900"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0E8E30F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7FF9C32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1997" w:type="dxa"/>
            <w:tcBorders>
              <w:top w:val="nil"/>
            </w:tcBorders>
            <w:vAlign w:val="center"/>
            <w:hideMark/>
          </w:tcPr>
          <w:p w14:paraId="2BBFC0C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29</w:t>
            </w:r>
          </w:p>
        </w:tc>
        <w:tc>
          <w:tcPr>
            <w:tcW w:w="2001" w:type="dxa"/>
            <w:tcBorders>
              <w:top w:val="nil"/>
            </w:tcBorders>
            <w:vAlign w:val="center"/>
            <w:hideMark/>
          </w:tcPr>
          <w:p w14:paraId="76543D0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0.55</w:t>
            </w:r>
          </w:p>
        </w:tc>
        <w:tc>
          <w:tcPr>
            <w:tcW w:w="1997" w:type="dxa"/>
            <w:tcBorders>
              <w:top w:val="nil"/>
            </w:tcBorders>
            <w:vAlign w:val="center"/>
            <w:hideMark/>
          </w:tcPr>
          <w:p w14:paraId="18B63D7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2260C4E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756E1D5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3DBABA6"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Align w:val="center"/>
            <w:hideMark/>
          </w:tcPr>
          <w:p w14:paraId="4D65501E" w14:textId="092C6367"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{"citationItems":[{"id":"ITEM-1","itemData":{"DOI":"10.1016/j.conbuildmat.2018.05.231","ISSN":"09500618","abstract":"Municipal solid waste incineration bottom ash (IBA) contains metallic aluminum which generates gas when in contact with cement paste. To increase the utilization potential of IBA, alkali treatment for removal of metallic aluminum is proposed. This paper investigated the effects of alkalinity, reaction temperature, and alkali type on the properties of alkali-treated IBA and the resulting IBA blended cement mortars. Results showed that alkali treatment effectively removes the metallic aluminum in IBA and minimizes aeration in IBA blended cement mortars. Furthermore, alkali treatment enhances pozzolanic properties of IBA and the resulting alkali-treated IBA possessed pozzolanic reactivity similar to coal fly ash. The strength activity indices (SAI) of the resulting alkali-treated IBA blended cement mortars were above 75% of the control at the age of 28 days and beyond. In particular, the mix incorporating IBA treated with NaOH (pH = 14) at 25 °C has a strength comparable to that of control at the age of 90 days. The proposed method provides an effective, efficient, and fast means for the removal of metallic aluminum in IBA and the alkali-treated IBA can potentially be used as supplementary cementitious materials for concrete production.","author":[{"dropping-particle":"","family":"Liu","given":"Yiquan","non-dropping-particle":"","parse-names":false,"suffix":""},{"dropping-particle":"","family":"Sidhu","given":"Kevindev Singh","non-dropping-particle":"","parse-names":false,"suffix":""},{"dropping-particle":"","family":"Chen","given":"Zhitao","non-dropping-particle":"","parse-names":false,"suffix":""},{"dropping-particle":"","family":"Yang","given":"En Hua","non-dropping-particle":"","parse-names":false,"suffix":""}],"container-title":"Construction and Building Materials","id":"ITEM-1","issued":{"date-parts":[["2018"]]},"page":"371-378","publisher":"Elsevier Ltd","title":"Alkali-treated incineration bottom ash as supplementary cementitious materials","type":"article-journal","volume":"179"},"uris":["http://www.mendeley.com/documents/?uuid=bd9141fa-3038-4116-b00d-bf67db6fad28"]}],"mendeley":{"formattedCitation":"(Liu et al., 2018)","plainTextFormattedCitation":"(Liu et al., 2018)","previouslyFormattedCitation":"(Liu et al., 2018)"},"properties":{"noteIndex":0},"schema":"https://github.com/citation-style-language/schema/raw/master/csl-citation.json"}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(Liu et al., 2018)</w:t>
            </w:r>
            <w:r w:rsidRPr="00704E49">
              <w:rPr>
                <w:rFonts w:ascii="Calibri" w:eastAsia="等线" w:hAnsi="Calibri" w:cs="Arial"/>
                <w:sz w:val="18"/>
                <w:szCs w:val="18"/>
                <w:lang w:val="en-GB"/>
              </w:rPr>
              <w:fldChar w:fldCharType="end"/>
            </w:r>
          </w:p>
        </w:tc>
        <w:tc>
          <w:tcPr>
            <w:tcW w:w="1986" w:type="dxa"/>
            <w:vAlign w:val="center"/>
            <w:hideMark/>
          </w:tcPr>
          <w:p w14:paraId="42BF74C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w:t>
            </w:r>
          </w:p>
        </w:tc>
        <w:tc>
          <w:tcPr>
            <w:tcW w:w="1997" w:type="dxa"/>
            <w:vAlign w:val="center"/>
            <w:hideMark/>
          </w:tcPr>
          <w:p w14:paraId="45F0B78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w:t>
            </w:r>
          </w:p>
        </w:tc>
        <w:tc>
          <w:tcPr>
            <w:tcW w:w="2001" w:type="dxa"/>
            <w:vAlign w:val="center"/>
            <w:hideMark/>
          </w:tcPr>
          <w:p w14:paraId="3EBCEAA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0.76</w:t>
            </w:r>
          </w:p>
        </w:tc>
        <w:tc>
          <w:tcPr>
            <w:tcW w:w="1997" w:type="dxa"/>
            <w:vAlign w:val="center"/>
            <w:hideMark/>
          </w:tcPr>
          <w:p w14:paraId="70835FE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1997" w:type="dxa"/>
            <w:vAlign w:val="center"/>
            <w:hideMark/>
          </w:tcPr>
          <w:p w14:paraId="7B044E6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52.8</w:t>
            </w:r>
          </w:p>
        </w:tc>
        <w:tc>
          <w:tcPr>
            <w:tcW w:w="2001" w:type="dxa"/>
            <w:vAlign w:val="center"/>
            <w:hideMark/>
          </w:tcPr>
          <w:p w14:paraId="6F40CBE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1.00</w:t>
            </w:r>
          </w:p>
        </w:tc>
      </w:tr>
      <w:tr w:rsidR="00D76C75" w:rsidRPr="00704E49" w14:paraId="4056BD56"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3D54B87A" w14:textId="45803DF2"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{"citationItems":[{"id":"ITEM-1","itemData":{"DOI":"10.1016/j.conbuildmat.2017.12.081","ISSN":"09500618","abstract":"In this study, the feasibility of application of municipal solid waste incineration (MSWI) fly ash and bottom ash as a supplementary cementitious material for the preparation of blended cement was evaluated. For this purpose, the cement composites with 10–50 wt% of cement replaced by the equivalent amount of washed MSWI fly ash and bottom ash were prepared, together with water needed for normal consistency, setting time for the blend, strength and hydration characteristics of MSWI ash-cement composites were investigated. The results show that the washed MSWI fly ash and bottom ash have some cementitious activity, but the activity is relatively lower than Portland cement. The behavior of the addition of composites of washed MSWI fly ash and bottom ash were observed to be different with respect to water demand and setting time. Addition of washed fly ash and bottom ash were found to have a deleterious effect on the mechanical strength of cement composites and the maximum replacement by washed MSWI fly ash and bottom ash should be limited to the range of 40 wt% and 20 wt%, respectively to ensure the mechanical properties of composites. Besides, the hydration characteristic of cement blended with washed MSWI fly ash and bottom ash was also measured by using X-ray powder diffraction (XRD) and scanning electron microscope (SEM). Finally, the environmental and economic impact of the as-derived cementitious materials was also evaluated. It was found that the recycling of MSWI fly ash and bottom ash for the cement production can achieve a significant economic and environmental benefit at the same time.","author":[{"dropping-particle":"","family":"Yang","given":"Zhenzhou","non-dropping-particle":"","parse-names":false,"suffix":""},{"dropping-particle":"","family":"Ji","given":"Ru","non-dropping-particle":"","parse-names":false,"suffix":""},{"dropping-particle":"","family":"Liu","given":"Lili","non-dropping-particle":"","parse-names":false,"suffix":""},{"dropping-particle":"","family":"Wang","given":"Xidong","non-dropping-particle":"","parse-names":false,"suffix":""},{"dropping-particle":"","family":"Zhang","given":"Zuotai","non-dropping-particle":"","parse-names":false,"suffix":""}],"container-title":"Construction and Building Materials","id":"ITEM-1","issued":{"date-parts":[["2018"]]},"page":"794-801","publisher":"Elsevier Ltd","title":"Recycling of municipal solid waste incineration by-product for cement composites preparation","type":"article-journal","volume":"162"},"uris":["http://www.mendeley.com/documents/?uuid=31f494e7-a387-42eb-aef2-d68d762699f3"]}],"mendeley":{"formattedCitation":"(Yang, Ji, et al., 2018)","plainTextFormattedCitation":"(Yang, Ji, et al., 2018)","previouslyFormattedCitation":"(Yang, Ji, et al., 2018)"},"properties":{"noteIndex":0},"schema":"https://github.com/citation-style-language/schema/raw/master/csl-citation.json"}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(Yang, Ji, et al., 2018)</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7635EA7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bottom w:val="nil"/>
            </w:tcBorders>
            <w:vAlign w:val="center"/>
            <w:hideMark/>
          </w:tcPr>
          <w:p w14:paraId="0D72039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w:t>
            </w:r>
          </w:p>
        </w:tc>
        <w:tc>
          <w:tcPr>
            <w:tcW w:w="2001" w:type="dxa"/>
            <w:tcBorders>
              <w:bottom w:val="nil"/>
            </w:tcBorders>
            <w:vAlign w:val="center"/>
            <w:hideMark/>
          </w:tcPr>
          <w:p w14:paraId="6A00C8F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0.72</w:t>
            </w:r>
          </w:p>
        </w:tc>
        <w:tc>
          <w:tcPr>
            <w:tcW w:w="1997" w:type="dxa"/>
            <w:tcBorders>
              <w:bottom w:val="nil"/>
            </w:tcBorders>
            <w:vAlign w:val="center"/>
            <w:hideMark/>
          </w:tcPr>
          <w:p w14:paraId="3B2B8BE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bottom w:val="nil"/>
            </w:tcBorders>
            <w:vAlign w:val="center"/>
            <w:hideMark/>
          </w:tcPr>
          <w:p w14:paraId="10A29EF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bottom w:val="nil"/>
            </w:tcBorders>
            <w:vAlign w:val="center"/>
            <w:hideMark/>
          </w:tcPr>
          <w:p w14:paraId="49B859B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D1D7B6A"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5AAA6FBF"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578DD49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7722904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w:t>
            </w:r>
          </w:p>
        </w:tc>
        <w:tc>
          <w:tcPr>
            <w:tcW w:w="2001" w:type="dxa"/>
            <w:tcBorders>
              <w:top w:val="nil"/>
              <w:bottom w:val="nil"/>
            </w:tcBorders>
            <w:vAlign w:val="center"/>
            <w:hideMark/>
          </w:tcPr>
          <w:p w14:paraId="04050C2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0.55</w:t>
            </w:r>
          </w:p>
        </w:tc>
        <w:tc>
          <w:tcPr>
            <w:tcW w:w="1997" w:type="dxa"/>
            <w:tcBorders>
              <w:top w:val="nil"/>
              <w:bottom w:val="nil"/>
            </w:tcBorders>
            <w:vAlign w:val="center"/>
            <w:hideMark/>
          </w:tcPr>
          <w:p w14:paraId="50B09F8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2E4794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20C4E1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B473DC7"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0F1452EC"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19BDF12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26D9B26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nil"/>
              <w:bottom w:val="nil"/>
            </w:tcBorders>
            <w:vAlign w:val="center"/>
            <w:hideMark/>
          </w:tcPr>
          <w:p w14:paraId="089DBA3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0.44</w:t>
            </w:r>
          </w:p>
        </w:tc>
        <w:tc>
          <w:tcPr>
            <w:tcW w:w="1997" w:type="dxa"/>
            <w:tcBorders>
              <w:top w:val="nil"/>
              <w:bottom w:val="nil"/>
            </w:tcBorders>
            <w:vAlign w:val="center"/>
            <w:hideMark/>
          </w:tcPr>
          <w:p w14:paraId="25FE7F1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F5D7EE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0DA219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3FC3105"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3719BD4E"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7180342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nil"/>
            </w:tcBorders>
            <w:vAlign w:val="center"/>
            <w:hideMark/>
          </w:tcPr>
          <w:p w14:paraId="5E5D755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21</w:t>
            </w:r>
          </w:p>
        </w:tc>
        <w:tc>
          <w:tcPr>
            <w:tcW w:w="2001" w:type="dxa"/>
            <w:tcBorders>
              <w:top w:val="nil"/>
              <w:bottom w:val="nil"/>
            </w:tcBorders>
            <w:vAlign w:val="center"/>
            <w:hideMark/>
          </w:tcPr>
          <w:p w14:paraId="426B54D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0.33</w:t>
            </w:r>
          </w:p>
        </w:tc>
        <w:tc>
          <w:tcPr>
            <w:tcW w:w="1997" w:type="dxa"/>
            <w:tcBorders>
              <w:top w:val="nil"/>
              <w:bottom w:val="nil"/>
            </w:tcBorders>
            <w:vAlign w:val="center"/>
            <w:hideMark/>
          </w:tcPr>
          <w:p w14:paraId="2AA355F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57268B1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7CB417A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4EF6B9C7"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bottom w:val="single" w:sz="4" w:space="0" w:color="auto"/>
            </w:tcBorders>
            <w:vAlign w:val="center"/>
            <w:hideMark/>
          </w:tcPr>
          <w:p w14:paraId="1CF14E15"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single" w:sz="4" w:space="0" w:color="auto"/>
            </w:tcBorders>
            <w:vAlign w:val="center"/>
            <w:hideMark/>
          </w:tcPr>
          <w:p w14:paraId="704D371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w:t>
            </w:r>
          </w:p>
        </w:tc>
        <w:tc>
          <w:tcPr>
            <w:tcW w:w="1997" w:type="dxa"/>
            <w:tcBorders>
              <w:top w:val="nil"/>
              <w:bottom w:val="single" w:sz="4" w:space="0" w:color="auto"/>
            </w:tcBorders>
            <w:vAlign w:val="center"/>
            <w:hideMark/>
          </w:tcPr>
          <w:p w14:paraId="5D4882A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17</w:t>
            </w:r>
          </w:p>
        </w:tc>
        <w:tc>
          <w:tcPr>
            <w:tcW w:w="2001" w:type="dxa"/>
            <w:tcBorders>
              <w:top w:val="nil"/>
              <w:bottom w:val="single" w:sz="4" w:space="0" w:color="auto"/>
            </w:tcBorders>
            <w:vAlign w:val="center"/>
            <w:hideMark/>
          </w:tcPr>
          <w:p w14:paraId="41C8BA7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0.27</w:t>
            </w:r>
          </w:p>
        </w:tc>
        <w:tc>
          <w:tcPr>
            <w:tcW w:w="1997" w:type="dxa"/>
            <w:tcBorders>
              <w:top w:val="nil"/>
              <w:bottom w:val="single" w:sz="4" w:space="0" w:color="auto"/>
            </w:tcBorders>
            <w:vAlign w:val="center"/>
            <w:hideMark/>
          </w:tcPr>
          <w:p w14:paraId="4CA5A4B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single" w:sz="4" w:space="0" w:color="auto"/>
            </w:tcBorders>
            <w:vAlign w:val="center"/>
            <w:hideMark/>
          </w:tcPr>
          <w:p w14:paraId="09AC0F1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single" w:sz="4" w:space="0" w:color="auto"/>
            </w:tcBorders>
            <w:vAlign w:val="center"/>
            <w:hideMark/>
          </w:tcPr>
          <w:p w14:paraId="28CCAC3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D522CCB"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tcBorders>
              <w:top w:val="single" w:sz="4" w:space="0" w:color="auto"/>
              <w:bottom w:val="nil"/>
            </w:tcBorders>
            <w:vAlign w:val="center"/>
            <w:hideMark/>
          </w:tcPr>
          <w:p w14:paraId="6A41E94C" w14:textId="204A9BD4"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lastRenderedPageBreak/>
              <w:fldChar w:fldCharType="begin" w:fldLock="1"/>
            </w:r>
            <w:r w:rsidR="005E7D08" w:rsidRPr="00704E49">
              <w:rPr>
                <w:rFonts w:ascii="Calibri" w:eastAsia="等线" w:hAnsi="Calibri" w:cs="Arial"/>
                <w:sz w:val="18"/>
                <w:szCs w:val="18"/>
                <w:lang w:val="en-GB"/>
              </w:rPr>
              <w:instrText>ADDIN CSL_CITATION {"citationItems":[{"id":"ITEM-1","itemData":{"DOI":"10.3390/app9235091","ISSN":"20763417","abstract":"This research provides a strategy for partially replacing cement with municipal solid waste incineration (MSWI) bottom ash (BA) to improve the performance of concrete against sulphate attack. Mortar strength tests were performed firstly to evaluate the hydration activity of the ground BA. Concrete specimens were cured in standard conditions and immersed in a solution that contained 10% sodium sulfate. Then, the compressive strength of these specimens was measured to investigate the mechanical properties and durability of the concrete. Next, the capillary porosity of the concrete was determined from the volume fractions of water lost in specimens. Finally, the transport of the sulphate solution in concrete was analyzed using capillary rise, crystallization rate, and solution absorption tests. The results indicated that BA had a certain hydration activity. The equivalent replacement of cement by BA decreased the compressive strength of the specimens but increased the durability of the concrete. There was an excellent correlation between capillary rise height, sulfate solution absorption amount, crystallization rate, and coarse capillary porosity. The addition of BA can decrease the coarse capillary porosity and further slow the capillary transport and crystallization of sulfate solution in concrete. Overall, the replacement of cement with BA can improve the durability of concrete and actualize the utilization of MSWI residues as a resource.","author":[{"dropping-particle":"","family":"Cheng","given":"Yongzhen","non-dropping-particle":"","parse-names":false,"suffix":""},{"dropping-particle":"","family":"Dong","given":"Yun","non-dropping-particle":"","parse-names":false,"suffix":""},{"dropping-particle":"","family":"Diao","given":"Jiakang","non-dropping-particle":"","parse-names":false,"suffix":""},{"dropping-particle":"","family":"Zhang","given":"Guoying","non-dropping-particle":"","parse-names":false,"suffix":""},{"dropping-particle":"","family":"Chen","given":"Chao","non-dropping-particle":"","parse-names":false,"suffix":""},{"dropping-particle":"","family":"Wu","given":"Danxi","non-dropping-particle":"","parse-names":false,"suffix":""}],"container-title":"Applied Sciences (Switzerland)","id":"ITEM-1","issue":"23","issued":{"date-parts":[["2019"]]},"publisher":"MDPI AG","title":"MSWI bottom ash application to resist sulfate attack on concrete","type":"article-journal","volume":"9"},"uris":["http://www.mendeley.com/documents/?uuid=2ef822d2-d567-4688-8382-ab384ea4c21f"]}],"mendeley":{"formattedCitation":"(Cheng et al., 2019)","plainTextFormattedCitation":"(Cheng et al., 2019)","previouslyFormattedCitation":"(Cheng et al., 2019)"},"properties":{"noteIndex":0},"schema":"https://github.com/citation-style-language/schema/raw/master/csl-citation.json"}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(Cheng et al., 2019)</w:t>
            </w:r>
            <w:r w:rsidRPr="00704E49">
              <w:rPr>
                <w:rFonts w:ascii="Calibri" w:eastAsia="等线" w:hAnsi="Calibri" w:cs="Arial"/>
                <w:sz w:val="18"/>
                <w:szCs w:val="18"/>
                <w:lang w:val="en-GB"/>
              </w:rPr>
              <w:fldChar w:fldCharType="end"/>
            </w:r>
          </w:p>
        </w:tc>
        <w:tc>
          <w:tcPr>
            <w:tcW w:w="1986" w:type="dxa"/>
            <w:tcBorders>
              <w:top w:val="single" w:sz="4" w:space="0" w:color="auto"/>
              <w:bottom w:val="nil"/>
            </w:tcBorders>
            <w:vAlign w:val="center"/>
            <w:hideMark/>
          </w:tcPr>
          <w:p w14:paraId="7D9FF8E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1997" w:type="dxa"/>
            <w:tcBorders>
              <w:top w:val="single" w:sz="4" w:space="0" w:color="auto"/>
              <w:bottom w:val="nil"/>
            </w:tcBorders>
            <w:vAlign w:val="center"/>
            <w:hideMark/>
          </w:tcPr>
          <w:p w14:paraId="7D1D80A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w:t>
            </w:r>
          </w:p>
        </w:tc>
        <w:tc>
          <w:tcPr>
            <w:tcW w:w="2001" w:type="dxa"/>
            <w:tcBorders>
              <w:top w:val="single" w:sz="4" w:space="0" w:color="auto"/>
              <w:bottom w:val="nil"/>
            </w:tcBorders>
            <w:vAlign w:val="center"/>
            <w:hideMark/>
          </w:tcPr>
          <w:p w14:paraId="6FDD578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0.88</w:t>
            </w:r>
          </w:p>
        </w:tc>
        <w:tc>
          <w:tcPr>
            <w:tcW w:w="1997" w:type="dxa"/>
            <w:tcBorders>
              <w:top w:val="single" w:sz="4" w:space="0" w:color="auto"/>
              <w:bottom w:val="nil"/>
            </w:tcBorders>
            <w:vAlign w:val="center"/>
            <w:hideMark/>
          </w:tcPr>
          <w:p w14:paraId="19733C7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auto"/>
              <w:bottom w:val="nil"/>
            </w:tcBorders>
            <w:vAlign w:val="center"/>
            <w:hideMark/>
          </w:tcPr>
          <w:p w14:paraId="74E48A0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auto"/>
              <w:bottom w:val="nil"/>
            </w:tcBorders>
            <w:vAlign w:val="center"/>
            <w:hideMark/>
          </w:tcPr>
          <w:p w14:paraId="7E8F5F9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D8589F2"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348D4FF9"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C41D05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1997" w:type="dxa"/>
            <w:tcBorders>
              <w:top w:val="nil"/>
              <w:bottom w:val="nil"/>
            </w:tcBorders>
            <w:vAlign w:val="center"/>
            <w:hideMark/>
          </w:tcPr>
          <w:p w14:paraId="73E234A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nil"/>
              <w:bottom w:val="nil"/>
            </w:tcBorders>
            <w:vAlign w:val="center"/>
            <w:hideMark/>
          </w:tcPr>
          <w:p w14:paraId="480ADA7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0.88</w:t>
            </w:r>
          </w:p>
        </w:tc>
        <w:tc>
          <w:tcPr>
            <w:tcW w:w="1997" w:type="dxa"/>
            <w:tcBorders>
              <w:top w:val="nil"/>
              <w:bottom w:val="nil"/>
            </w:tcBorders>
            <w:vAlign w:val="center"/>
            <w:hideMark/>
          </w:tcPr>
          <w:p w14:paraId="636BBB0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36F202E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7D666D8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79116207"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6709ECF1"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2D3C63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1997" w:type="dxa"/>
            <w:tcBorders>
              <w:top w:val="nil"/>
              <w:bottom w:val="nil"/>
            </w:tcBorders>
            <w:vAlign w:val="center"/>
            <w:hideMark/>
          </w:tcPr>
          <w:p w14:paraId="1167548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37</w:t>
            </w:r>
          </w:p>
        </w:tc>
        <w:tc>
          <w:tcPr>
            <w:tcW w:w="2001" w:type="dxa"/>
            <w:tcBorders>
              <w:top w:val="nil"/>
              <w:bottom w:val="nil"/>
            </w:tcBorders>
            <w:vAlign w:val="center"/>
            <w:hideMark/>
          </w:tcPr>
          <w:p w14:paraId="44230CF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0.86</w:t>
            </w:r>
          </w:p>
        </w:tc>
        <w:tc>
          <w:tcPr>
            <w:tcW w:w="1997" w:type="dxa"/>
            <w:tcBorders>
              <w:top w:val="nil"/>
              <w:bottom w:val="nil"/>
            </w:tcBorders>
            <w:vAlign w:val="center"/>
            <w:hideMark/>
          </w:tcPr>
          <w:p w14:paraId="0FB4967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1DFCA14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7FC30E8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91CD51E"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2AEA92A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40961C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1997" w:type="dxa"/>
            <w:tcBorders>
              <w:top w:val="nil"/>
              <w:bottom w:val="nil"/>
            </w:tcBorders>
            <w:vAlign w:val="center"/>
            <w:hideMark/>
          </w:tcPr>
          <w:p w14:paraId="76F9810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25.5</w:t>
            </w:r>
          </w:p>
        </w:tc>
        <w:tc>
          <w:tcPr>
            <w:tcW w:w="2001" w:type="dxa"/>
            <w:tcBorders>
              <w:top w:val="nil"/>
              <w:bottom w:val="nil"/>
            </w:tcBorders>
            <w:vAlign w:val="center"/>
            <w:hideMark/>
          </w:tcPr>
          <w:p w14:paraId="5CD728E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0.80</w:t>
            </w:r>
          </w:p>
        </w:tc>
        <w:tc>
          <w:tcPr>
            <w:tcW w:w="1997" w:type="dxa"/>
            <w:tcBorders>
              <w:top w:val="nil"/>
              <w:bottom w:val="nil"/>
            </w:tcBorders>
            <w:vAlign w:val="center"/>
            <w:hideMark/>
          </w:tcPr>
          <w:p w14:paraId="4548230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7B74442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667044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9888D62"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52289CE4"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7B17AB1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1997" w:type="dxa"/>
            <w:tcBorders>
              <w:top w:val="nil"/>
              <w:bottom w:val="nil"/>
            </w:tcBorders>
            <w:vAlign w:val="center"/>
            <w:hideMark/>
          </w:tcPr>
          <w:p w14:paraId="560CAB5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34</w:t>
            </w:r>
          </w:p>
        </w:tc>
        <w:tc>
          <w:tcPr>
            <w:tcW w:w="2001" w:type="dxa"/>
            <w:tcBorders>
              <w:top w:val="nil"/>
              <w:bottom w:val="nil"/>
            </w:tcBorders>
            <w:vAlign w:val="center"/>
            <w:hideMark/>
          </w:tcPr>
          <w:p w14:paraId="3F16E63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0.79</w:t>
            </w:r>
          </w:p>
        </w:tc>
        <w:tc>
          <w:tcPr>
            <w:tcW w:w="1997" w:type="dxa"/>
            <w:tcBorders>
              <w:top w:val="nil"/>
              <w:bottom w:val="nil"/>
            </w:tcBorders>
            <w:vAlign w:val="center"/>
            <w:hideMark/>
          </w:tcPr>
          <w:p w14:paraId="6C8B17E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F22160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9B2C05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C1E6ABE"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36A4DE04"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6DE60B2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1997" w:type="dxa"/>
            <w:tcBorders>
              <w:top w:val="nil"/>
              <w:bottom w:val="nil"/>
            </w:tcBorders>
            <w:vAlign w:val="center"/>
            <w:hideMark/>
          </w:tcPr>
          <w:p w14:paraId="2D45DC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25</w:t>
            </w:r>
          </w:p>
        </w:tc>
        <w:tc>
          <w:tcPr>
            <w:tcW w:w="2001" w:type="dxa"/>
            <w:tcBorders>
              <w:top w:val="nil"/>
              <w:bottom w:val="nil"/>
            </w:tcBorders>
            <w:vAlign w:val="center"/>
            <w:hideMark/>
          </w:tcPr>
          <w:p w14:paraId="6C239A7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0.78</w:t>
            </w:r>
          </w:p>
        </w:tc>
        <w:tc>
          <w:tcPr>
            <w:tcW w:w="1997" w:type="dxa"/>
            <w:tcBorders>
              <w:top w:val="nil"/>
              <w:bottom w:val="nil"/>
            </w:tcBorders>
            <w:vAlign w:val="center"/>
            <w:hideMark/>
          </w:tcPr>
          <w:p w14:paraId="2CEAFB9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4DC38B1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61BB5E5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394AD52"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65F1FDFF"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FAA0CF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1997" w:type="dxa"/>
            <w:tcBorders>
              <w:top w:val="nil"/>
              <w:bottom w:val="nil"/>
            </w:tcBorders>
            <w:vAlign w:val="center"/>
            <w:hideMark/>
          </w:tcPr>
          <w:p w14:paraId="09BFED5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31</w:t>
            </w:r>
          </w:p>
        </w:tc>
        <w:tc>
          <w:tcPr>
            <w:tcW w:w="2001" w:type="dxa"/>
            <w:tcBorders>
              <w:top w:val="nil"/>
              <w:bottom w:val="nil"/>
            </w:tcBorders>
            <w:vAlign w:val="center"/>
            <w:hideMark/>
          </w:tcPr>
          <w:p w14:paraId="23020B3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0.78</w:t>
            </w:r>
          </w:p>
        </w:tc>
        <w:tc>
          <w:tcPr>
            <w:tcW w:w="1997" w:type="dxa"/>
            <w:tcBorders>
              <w:top w:val="nil"/>
              <w:bottom w:val="nil"/>
            </w:tcBorders>
            <w:vAlign w:val="center"/>
            <w:hideMark/>
          </w:tcPr>
          <w:p w14:paraId="2075DFB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513CD3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3B576A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358200A"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19C9EA6C"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7232FD9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1997" w:type="dxa"/>
            <w:tcBorders>
              <w:top w:val="nil"/>
              <w:bottom w:val="nil"/>
            </w:tcBorders>
            <w:vAlign w:val="center"/>
            <w:hideMark/>
          </w:tcPr>
          <w:p w14:paraId="293740D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32.5</w:t>
            </w:r>
          </w:p>
        </w:tc>
        <w:tc>
          <w:tcPr>
            <w:tcW w:w="2001" w:type="dxa"/>
            <w:tcBorders>
              <w:top w:val="nil"/>
              <w:bottom w:val="nil"/>
            </w:tcBorders>
            <w:vAlign w:val="center"/>
            <w:hideMark/>
          </w:tcPr>
          <w:p w14:paraId="47BFD19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0.76</w:t>
            </w:r>
          </w:p>
        </w:tc>
        <w:tc>
          <w:tcPr>
            <w:tcW w:w="1997" w:type="dxa"/>
            <w:tcBorders>
              <w:top w:val="nil"/>
              <w:bottom w:val="nil"/>
            </w:tcBorders>
            <w:vAlign w:val="center"/>
            <w:hideMark/>
          </w:tcPr>
          <w:p w14:paraId="24D9A63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4CCA639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0B5ABED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185C9B7"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56D1E29E"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4CEFB01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1997" w:type="dxa"/>
            <w:tcBorders>
              <w:top w:val="nil"/>
              <w:bottom w:val="nil"/>
            </w:tcBorders>
            <w:vAlign w:val="center"/>
            <w:hideMark/>
          </w:tcPr>
          <w:p w14:paraId="2242993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23</w:t>
            </w:r>
          </w:p>
        </w:tc>
        <w:tc>
          <w:tcPr>
            <w:tcW w:w="2001" w:type="dxa"/>
            <w:tcBorders>
              <w:top w:val="nil"/>
              <w:bottom w:val="nil"/>
            </w:tcBorders>
            <w:vAlign w:val="center"/>
            <w:hideMark/>
          </w:tcPr>
          <w:p w14:paraId="6FFD151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0.72</w:t>
            </w:r>
          </w:p>
        </w:tc>
        <w:tc>
          <w:tcPr>
            <w:tcW w:w="1997" w:type="dxa"/>
            <w:tcBorders>
              <w:top w:val="nil"/>
              <w:bottom w:val="nil"/>
            </w:tcBorders>
            <w:vAlign w:val="center"/>
            <w:hideMark/>
          </w:tcPr>
          <w:p w14:paraId="5B2011F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785D0FB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253085B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91FF9C1"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14985956"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33A7E24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1997" w:type="dxa"/>
            <w:tcBorders>
              <w:top w:val="nil"/>
              <w:bottom w:val="nil"/>
            </w:tcBorders>
            <w:vAlign w:val="center"/>
            <w:hideMark/>
          </w:tcPr>
          <w:p w14:paraId="4AA093C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nil"/>
              <w:bottom w:val="nil"/>
            </w:tcBorders>
            <w:vAlign w:val="center"/>
            <w:hideMark/>
          </w:tcPr>
          <w:p w14:paraId="0D535A1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0.70</w:t>
            </w:r>
          </w:p>
        </w:tc>
        <w:tc>
          <w:tcPr>
            <w:tcW w:w="1997" w:type="dxa"/>
            <w:tcBorders>
              <w:top w:val="nil"/>
              <w:bottom w:val="nil"/>
            </w:tcBorders>
            <w:vAlign w:val="center"/>
            <w:hideMark/>
          </w:tcPr>
          <w:p w14:paraId="51B51CA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C18C76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DA7602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60D225D"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4ABD2F30"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56C8289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1997" w:type="dxa"/>
            <w:tcBorders>
              <w:top w:val="nil"/>
              <w:bottom w:val="nil"/>
            </w:tcBorders>
            <w:vAlign w:val="center"/>
            <w:hideMark/>
          </w:tcPr>
          <w:p w14:paraId="57CB099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nil"/>
              <w:bottom w:val="nil"/>
            </w:tcBorders>
            <w:vAlign w:val="center"/>
            <w:hideMark/>
          </w:tcPr>
          <w:p w14:paraId="233CD28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0.65</w:t>
            </w:r>
          </w:p>
        </w:tc>
        <w:tc>
          <w:tcPr>
            <w:tcW w:w="1997" w:type="dxa"/>
            <w:tcBorders>
              <w:top w:val="nil"/>
              <w:bottom w:val="nil"/>
            </w:tcBorders>
            <w:vAlign w:val="center"/>
            <w:hideMark/>
          </w:tcPr>
          <w:p w14:paraId="6F6586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4F7B09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D3E31E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548AD3C"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20EC3383"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080E76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1997" w:type="dxa"/>
            <w:tcBorders>
              <w:top w:val="nil"/>
              <w:bottom w:val="nil"/>
            </w:tcBorders>
            <w:vAlign w:val="center"/>
            <w:hideMark/>
          </w:tcPr>
          <w:p w14:paraId="0C39565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20</w:t>
            </w:r>
          </w:p>
        </w:tc>
        <w:tc>
          <w:tcPr>
            <w:tcW w:w="2001" w:type="dxa"/>
            <w:tcBorders>
              <w:top w:val="nil"/>
              <w:bottom w:val="nil"/>
            </w:tcBorders>
            <w:vAlign w:val="center"/>
            <w:hideMark/>
          </w:tcPr>
          <w:p w14:paraId="0EB158B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0.63</w:t>
            </w:r>
          </w:p>
        </w:tc>
        <w:tc>
          <w:tcPr>
            <w:tcW w:w="1997" w:type="dxa"/>
            <w:tcBorders>
              <w:top w:val="nil"/>
              <w:bottom w:val="nil"/>
            </w:tcBorders>
            <w:vAlign w:val="center"/>
            <w:hideMark/>
          </w:tcPr>
          <w:p w14:paraId="44A51E8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0D91D84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2F23A39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1C539BC"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502A7930"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8780E9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1997" w:type="dxa"/>
            <w:tcBorders>
              <w:top w:val="nil"/>
              <w:bottom w:val="nil"/>
            </w:tcBorders>
            <w:vAlign w:val="center"/>
            <w:hideMark/>
          </w:tcPr>
          <w:p w14:paraId="00D47CC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24.5</w:t>
            </w:r>
          </w:p>
        </w:tc>
        <w:tc>
          <w:tcPr>
            <w:tcW w:w="2001" w:type="dxa"/>
            <w:tcBorders>
              <w:top w:val="nil"/>
              <w:bottom w:val="nil"/>
            </w:tcBorders>
            <w:vAlign w:val="center"/>
            <w:hideMark/>
          </w:tcPr>
          <w:p w14:paraId="72C330B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0.61</w:t>
            </w:r>
          </w:p>
        </w:tc>
        <w:tc>
          <w:tcPr>
            <w:tcW w:w="1997" w:type="dxa"/>
            <w:tcBorders>
              <w:top w:val="nil"/>
              <w:bottom w:val="nil"/>
            </w:tcBorders>
            <w:vAlign w:val="center"/>
            <w:hideMark/>
          </w:tcPr>
          <w:p w14:paraId="45318BB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18C9D4C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11F3D1D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C408284"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1644AFF9"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641FB2A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w:t>
            </w:r>
          </w:p>
        </w:tc>
        <w:tc>
          <w:tcPr>
            <w:tcW w:w="1997" w:type="dxa"/>
            <w:tcBorders>
              <w:top w:val="nil"/>
              <w:bottom w:val="nil"/>
            </w:tcBorders>
            <w:vAlign w:val="center"/>
            <w:hideMark/>
          </w:tcPr>
          <w:p w14:paraId="2F15B0A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26</w:t>
            </w:r>
          </w:p>
        </w:tc>
        <w:tc>
          <w:tcPr>
            <w:tcW w:w="2001" w:type="dxa"/>
            <w:tcBorders>
              <w:top w:val="nil"/>
              <w:bottom w:val="nil"/>
            </w:tcBorders>
            <w:vAlign w:val="center"/>
            <w:hideMark/>
          </w:tcPr>
          <w:p w14:paraId="6E268D1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0.60</w:t>
            </w:r>
          </w:p>
        </w:tc>
        <w:tc>
          <w:tcPr>
            <w:tcW w:w="1997" w:type="dxa"/>
            <w:tcBorders>
              <w:top w:val="nil"/>
              <w:bottom w:val="nil"/>
            </w:tcBorders>
            <w:vAlign w:val="center"/>
            <w:hideMark/>
          </w:tcPr>
          <w:p w14:paraId="57FED14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5AFF77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2AB6A76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31370FB"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tcBorders>
            <w:vAlign w:val="center"/>
            <w:hideMark/>
          </w:tcPr>
          <w:p w14:paraId="11DBDDF8"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3ADF28A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1997" w:type="dxa"/>
            <w:tcBorders>
              <w:top w:val="nil"/>
              <w:bottom w:val="nil"/>
            </w:tcBorders>
            <w:vAlign w:val="center"/>
            <w:hideMark/>
          </w:tcPr>
          <w:p w14:paraId="1E27FD1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23.5</w:t>
            </w:r>
          </w:p>
        </w:tc>
        <w:tc>
          <w:tcPr>
            <w:tcW w:w="2001" w:type="dxa"/>
            <w:tcBorders>
              <w:top w:val="nil"/>
              <w:bottom w:val="nil"/>
            </w:tcBorders>
            <w:vAlign w:val="center"/>
            <w:hideMark/>
          </w:tcPr>
          <w:p w14:paraId="7F25347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0.59</w:t>
            </w:r>
          </w:p>
        </w:tc>
        <w:tc>
          <w:tcPr>
            <w:tcW w:w="1997" w:type="dxa"/>
            <w:tcBorders>
              <w:top w:val="nil"/>
              <w:bottom w:val="nil"/>
            </w:tcBorders>
            <w:vAlign w:val="center"/>
            <w:hideMark/>
          </w:tcPr>
          <w:p w14:paraId="5159D22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7DDF183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72B133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2030336"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6BE20F0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5A680C3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57</w:t>
            </w:r>
          </w:p>
        </w:tc>
        <w:tc>
          <w:tcPr>
            <w:tcW w:w="1997" w:type="dxa"/>
            <w:tcBorders>
              <w:top w:val="nil"/>
              <w:bottom w:val="nil"/>
            </w:tcBorders>
            <w:vAlign w:val="center"/>
            <w:hideMark/>
          </w:tcPr>
          <w:p w14:paraId="64AA41B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32</w:t>
            </w:r>
          </w:p>
        </w:tc>
        <w:tc>
          <w:tcPr>
            <w:tcW w:w="2001" w:type="dxa"/>
            <w:tcBorders>
              <w:top w:val="nil"/>
              <w:bottom w:val="nil"/>
            </w:tcBorders>
            <w:vAlign w:val="center"/>
            <w:hideMark/>
          </w:tcPr>
          <w:p w14:paraId="72A82D9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0.56</w:t>
            </w:r>
          </w:p>
        </w:tc>
        <w:tc>
          <w:tcPr>
            <w:tcW w:w="1997" w:type="dxa"/>
            <w:tcBorders>
              <w:top w:val="nil"/>
              <w:bottom w:val="nil"/>
            </w:tcBorders>
            <w:vAlign w:val="center"/>
            <w:hideMark/>
          </w:tcPr>
          <w:p w14:paraId="38E9324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653B7BF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610150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7FFD957"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689EF067"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34798BB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57</w:t>
            </w:r>
          </w:p>
        </w:tc>
        <w:tc>
          <w:tcPr>
            <w:tcW w:w="1997" w:type="dxa"/>
            <w:tcBorders>
              <w:top w:val="nil"/>
              <w:bottom w:val="nil"/>
            </w:tcBorders>
            <w:vAlign w:val="center"/>
            <w:hideMark/>
          </w:tcPr>
          <w:p w14:paraId="35F0CAD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w:t>
            </w:r>
          </w:p>
        </w:tc>
        <w:tc>
          <w:tcPr>
            <w:tcW w:w="2001" w:type="dxa"/>
            <w:tcBorders>
              <w:top w:val="nil"/>
              <w:bottom w:val="nil"/>
            </w:tcBorders>
            <w:vAlign w:val="center"/>
            <w:hideMark/>
          </w:tcPr>
          <w:p w14:paraId="71A23CC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0.49</w:t>
            </w:r>
          </w:p>
        </w:tc>
        <w:tc>
          <w:tcPr>
            <w:tcW w:w="1997" w:type="dxa"/>
            <w:tcBorders>
              <w:top w:val="nil"/>
              <w:bottom w:val="nil"/>
            </w:tcBorders>
            <w:vAlign w:val="center"/>
            <w:hideMark/>
          </w:tcPr>
          <w:p w14:paraId="78033BC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F18D08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6603B9E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CF63425"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6D41B332"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C84882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57</w:t>
            </w:r>
          </w:p>
        </w:tc>
        <w:tc>
          <w:tcPr>
            <w:tcW w:w="1997" w:type="dxa"/>
            <w:tcBorders>
              <w:top w:val="nil"/>
              <w:bottom w:val="nil"/>
            </w:tcBorders>
            <w:vAlign w:val="center"/>
            <w:hideMark/>
          </w:tcPr>
          <w:p w14:paraId="5367940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27</w:t>
            </w:r>
          </w:p>
        </w:tc>
        <w:tc>
          <w:tcPr>
            <w:tcW w:w="2001" w:type="dxa"/>
            <w:tcBorders>
              <w:top w:val="nil"/>
              <w:bottom w:val="nil"/>
            </w:tcBorders>
            <w:vAlign w:val="center"/>
            <w:hideMark/>
          </w:tcPr>
          <w:p w14:paraId="47A6F7A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0.47</w:t>
            </w:r>
          </w:p>
        </w:tc>
        <w:tc>
          <w:tcPr>
            <w:tcW w:w="1997" w:type="dxa"/>
            <w:tcBorders>
              <w:top w:val="nil"/>
              <w:bottom w:val="nil"/>
            </w:tcBorders>
            <w:vAlign w:val="center"/>
            <w:hideMark/>
          </w:tcPr>
          <w:p w14:paraId="6B76DDF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4A2D231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0A8209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544AE74"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5C3B1E45"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63052B0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57</w:t>
            </w:r>
          </w:p>
        </w:tc>
        <w:tc>
          <w:tcPr>
            <w:tcW w:w="1997" w:type="dxa"/>
            <w:tcBorders>
              <w:top w:val="nil"/>
              <w:bottom w:val="nil"/>
            </w:tcBorders>
            <w:vAlign w:val="center"/>
            <w:hideMark/>
          </w:tcPr>
          <w:p w14:paraId="5851D12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24</w:t>
            </w:r>
          </w:p>
        </w:tc>
        <w:tc>
          <w:tcPr>
            <w:tcW w:w="2001" w:type="dxa"/>
            <w:tcBorders>
              <w:top w:val="nil"/>
              <w:bottom w:val="nil"/>
            </w:tcBorders>
            <w:vAlign w:val="center"/>
            <w:hideMark/>
          </w:tcPr>
          <w:p w14:paraId="55D2159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0.42</w:t>
            </w:r>
          </w:p>
        </w:tc>
        <w:tc>
          <w:tcPr>
            <w:tcW w:w="1997" w:type="dxa"/>
            <w:tcBorders>
              <w:top w:val="nil"/>
              <w:bottom w:val="nil"/>
            </w:tcBorders>
            <w:vAlign w:val="center"/>
            <w:hideMark/>
          </w:tcPr>
          <w:p w14:paraId="779434A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0BB5A85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5308D79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72B9FFB9"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06E55AC1"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27D763F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57</w:t>
            </w:r>
          </w:p>
        </w:tc>
        <w:tc>
          <w:tcPr>
            <w:tcW w:w="1997" w:type="dxa"/>
            <w:tcBorders>
              <w:top w:val="nil"/>
            </w:tcBorders>
            <w:vAlign w:val="center"/>
            <w:hideMark/>
          </w:tcPr>
          <w:p w14:paraId="0D221FD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w:t>
            </w:r>
          </w:p>
        </w:tc>
        <w:tc>
          <w:tcPr>
            <w:tcW w:w="2001" w:type="dxa"/>
            <w:tcBorders>
              <w:top w:val="nil"/>
            </w:tcBorders>
            <w:vAlign w:val="center"/>
            <w:hideMark/>
          </w:tcPr>
          <w:p w14:paraId="712C6EA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0.61</w:t>
            </w:r>
          </w:p>
        </w:tc>
        <w:tc>
          <w:tcPr>
            <w:tcW w:w="1997" w:type="dxa"/>
            <w:tcBorders>
              <w:top w:val="nil"/>
            </w:tcBorders>
            <w:vAlign w:val="center"/>
            <w:hideMark/>
          </w:tcPr>
          <w:p w14:paraId="509D8D3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473FC97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752049B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914F7F0" w14:textId="77777777" w:rsidTr="00D76C75">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6494463B" w14:textId="3E6E5C08"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{"citationItems":[{"id":"ITEM-1","itemData":{"DOI":"10.1016/j.jclepro.2020.120675","ISSN":"09596526","abstract":"To investigate the municipal solid waste (MSW) incineration bottom ash (IBA) as a value-added building material, this study focuses on evaluating different IBA constituents (such as glass, ceramic, mineral, slag-I with low-ferrous sintered phase and slag-II with high ferrous sintered phase) to be used as supplementary cementitious materials (SCMs) and then comparing to commercial SCMs (ground-granulated blast-furnace slag-GGBS and fly ash-FA). The investigated IBA constituents were milled into powder and then used as SCMs to partially replace cement in mortars. Their influences on cement hydration were evaluated by an isothermal calorimeter and the pozzolanic activities were assessed through the modified Chapelle test. The strength development of the mortars was studied to quantify their contributions as SCMs when compared to that of GGBS and FA. The microstructure of the hydrated mortar with IBA constituents was further evaluated. The experimental results showed that, at an early age of the IBA blended cement hydration, the powdered IBA constituents contributed to an increase in heat release, which was higher than that of FA and lower than that of GGBS; and the formation of monosulphate was accelerated. After 90 days’ curing, the powdered glass and ceramic fractions derived from IBA contributed significantly to the mortar strength compared to other constituents, indicating their relatively high reactivity that was confirmed by their high consumption of portlandite in the modified Chapelle test. The samples prepared with glass and ceramic powders derived from IBA had a relatively higher efficiency strength index (ESIt,FA/GGBS) than other IBA constituents, indicating their higher potential to be used as SCM alternatives. Therefore, it is suggested that the ground ceramic and glass fractions separated from IBA can be used as SCM alternatives, which can achieve over 80% and over 93% ESI of that of FA and GGBS, respectively. Furthermore, the other fractions of IBA, namely the coarse IBA and IBA-minerals can only be used as fillers.","author":[{"dropping-particle":"","family":"Tang","given":"Pei","non-dropping-particle":"","parse-names":false,"suffix":""},{"dropping-particle":"","family":"Chen","given":"Wei","non-dropping-particle":"","parse-names":false,"suffix":""},{"dropping-particle":"","family":"Xuan","given":"Dongxing","non-dropping-particle":"","parse-names":false,"suffix":""},{"dropping-particle":"","family":"Zuo","given":"Ying","non-dropping-particle":"","parse-names":false,"suffix":""},{"dropping-particle":"","family":"Poon","given":"Chi Sun","non-dropping-particle":"","parse-names":false,"suffix":""}],"container-title":"Journal of Cleaner Production","id":"ITEM-1","issued":{"date-parts":[["2020"]]},"publisher":"Elsevier Ltd","title":"Investigation of cementitious properties of different constituents in municipal solid waste incineration bottom ash as supplementary cementitious materials","type":"article-journal","volume":"258"},"uris":["http://www.mendeley.com/documents/?uuid=8d9b8d92-a0e7-4832-b598-f81c5ca7bf9f"]}],"mendeley":{"formattedCitation":"(Pei Tang et al., 2020)","plainTextFormattedCitation":"(Pei Tang et al., 2020)","previouslyFormattedCitation":"(Pei Tang et al., 2020)"},"properties":{"noteIndex":0},"schema":"https://github.com/citation-style-language/schema/raw/master/csl-citation.json"}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(Pei Tang et al., 2020)</w:t>
            </w:r>
            <w:r w:rsidRPr="00704E49">
              <w:rPr>
                <w:rFonts w:ascii="Calibri" w:eastAsia="等线" w:hAnsi="Calibri" w:cs="Arial"/>
                <w:sz w:val="18"/>
                <w:szCs w:val="18"/>
                <w:lang w:val="en-GB"/>
              </w:rPr>
              <w:fldChar w:fldCharType="end"/>
            </w:r>
          </w:p>
        </w:tc>
        <w:tc>
          <w:tcPr>
            <w:tcW w:w="1986" w:type="dxa"/>
            <w:tcBorders>
              <w:top w:val="single" w:sz="4" w:space="0" w:color="7F7F7F"/>
              <w:bottom w:val="nil"/>
            </w:tcBorders>
            <w:vAlign w:val="center"/>
            <w:hideMark/>
          </w:tcPr>
          <w:p w14:paraId="2757202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7F7F7F"/>
              <w:bottom w:val="nil"/>
            </w:tcBorders>
            <w:vAlign w:val="center"/>
            <w:hideMark/>
          </w:tcPr>
          <w:p w14:paraId="547A10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7F7F7F"/>
              <w:bottom w:val="nil"/>
            </w:tcBorders>
            <w:vAlign w:val="center"/>
            <w:hideMark/>
          </w:tcPr>
          <w:p w14:paraId="69D9BF8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0.87</w:t>
            </w:r>
          </w:p>
        </w:tc>
        <w:tc>
          <w:tcPr>
            <w:tcW w:w="1997" w:type="dxa"/>
            <w:tcBorders>
              <w:top w:val="single" w:sz="4" w:space="0" w:color="7F7F7F"/>
              <w:bottom w:val="nil"/>
            </w:tcBorders>
            <w:vAlign w:val="center"/>
            <w:hideMark/>
          </w:tcPr>
          <w:p w14:paraId="61954A6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7F7F7F"/>
              <w:bottom w:val="nil"/>
            </w:tcBorders>
            <w:vAlign w:val="center"/>
            <w:hideMark/>
          </w:tcPr>
          <w:p w14:paraId="3754194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7F7F7F"/>
              <w:bottom w:val="nil"/>
            </w:tcBorders>
            <w:vAlign w:val="center"/>
            <w:hideMark/>
          </w:tcPr>
          <w:p w14:paraId="305A73B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1.00</w:t>
            </w:r>
          </w:p>
        </w:tc>
      </w:tr>
      <w:tr w:rsidR="00D76C75" w:rsidRPr="00704E49" w14:paraId="10453D96"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54787339"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2BE9450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2F09BF9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2406BCA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0.78</w:t>
            </w:r>
          </w:p>
        </w:tc>
        <w:tc>
          <w:tcPr>
            <w:tcW w:w="1997" w:type="dxa"/>
            <w:tcBorders>
              <w:top w:val="nil"/>
            </w:tcBorders>
            <w:vAlign w:val="center"/>
            <w:hideMark/>
          </w:tcPr>
          <w:p w14:paraId="317EFA4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6F54397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0D2CF1C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0.94</w:t>
            </w:r>
          </w:p>
        </w:tc>
      </w:tr>
      <w:tr w:rsidR="00D76C75" w:rsidRPr="00704E49" w14:paraId="04A5EC44"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Align w:val="center"/>
            <w:hideMark/>
          </w:tcPr>
          <w:p w14:paraId="4B585D7C" w14:textId="1777ADED"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{"citationItems":[{"id":"ITEM-1","itemData":{"DOI":"10.1016/j.wasman.2018.07.002","ISSN":"18792456","PMID":"32559979","abstract":"In the present study, the long-term leaching behaviors of heavy metals in the cement composites prepared by the municipal solid wastes incineration (MSWI) bottom ash are evaluated based on the modified NEN 7375 protocol. The leaching test of the compact and ground cement composites were performed in both the deionized water and saline water for 180 days. The results showed that the heavy metals investigated could be classified into three categories according to their leaching behaviors. In the first category, the concentrations of Cu, Cd, Pb, As, V and Ba in the leachate increased with the leaching time. Zn and Sn can be included into the second category, because a decline in their leaching concentrations was observed after the initial increase. In the third category, the concentration of Ni in the leachate decreased initially, but increased afterward. The results revealed that the concentrations of most heavy metals were within the corresponding regulation, except for As in saline water. The kinetic study revealed that, for most heavy metals, the leaching kinetic is controlled by diffusion in the deionized water, while by the surface wash-off in the saline water. Finally, the mechanical tests confirmed that the cement composites prepared by MSWI bottom ash were durable in the saline water. The overall results demonstrate that the MSWI bottom ash can be a promising alternative as the cementitious component applied in cements or concretes for civil engineering.","author":[{"dropping-particle":"","family":"Yang","given":"Zhenzhou","non-dropping-particle":"","parse-names":false,"suffix":""},{"dropping-particle":"","family":"Tian","given":"Sicong","non-dropping-particle":"","parse-names":false,"suffix":""},{"dropping-particle":"","family":"Liu","given":"Lili","non-dropping-particle":"","parse-names":false,"suffix":""},{"dropping-particle":"","family":"Wang","given":"Xidong","non-dropping-particle":"","parse-names":false,"suffix":""},{"dropping-particle":"","family":"Zhang","given":"Zuotai","non-dropping-particle":"","parse-names":false,"suffix":""}],"container-title":"Waste Management","id":"ITEM-1","issued":{"date-parts":[["2018"]]},"page":"841-848","publisher":"Elsevier Ltd","title":"Recycling ground MSWI bottom ash in cement composites: Long-term environmental impacts","type":"article-journal","volume":"78"},"uris":["http://www.mendeley.com/documents/?uuid=31f8133a-4277-4e71-95d0-0a7c5267292b"]}],"mendeley":{"formattedCitation":"(Yang, Tian, et al., 2018)","plainTextFormattedCitation":"(Yang, Tian, et al., 2018)","previouslyFormattedCitation":"(Yang, Tian, et al., 2018)"},"properties":{"noteIndex":0},"schema":"https://github.com/citation-style-language/schema/raw/master/csl-citation.json"}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(Yang, Tian, et al., 2018)</w:t>
            </w:r>
            <w:r w:rsidRPr="00704E49">
              <w:rPr>
                <w:rFonts w:ascii="Calibri" w:eastAsia="等线" w:hAnsi="Calibri" w:cs="Arial"/>
                <w:sz w:val="18"/>
                <w:szCs w:val="18"/>
                <w:lang w:val="en-GB"/>
              </w:rPr>
              <w:fldChar w:fldCharType="end"/>
            </w:r>
          </w:p>
        </w:tc>
        <w:tc>
          <w:tcPr>
            <w:tcW w:w="1986" w:type="dxa"/>
            <w:vAlign w:val="center"/>
            <w:hideMark/>
          </w:tcPr>
          <w:p w14:paraId="18074E8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63</w:t>
            </w:r>
          </w:p>
        </w:tc>
        <w:tc>
          <w:tcPr>
            <w:tcW w:w="1997" w:type="dxa"/>
            <w:vAlign w:val="center"/>
            <w:hideMark/>
          </w:tcPr>
          <w:p w14:paraId="6B5BEA1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64.5</w:t>
            </w:r>
          </w:p>
        </w:tc>
        <w:tc>
          <w:tcPr>
            <w:tcW w:w="2001" w:type="dxa"/>
            <w:vAlign w:val="center"/>
            <w:hideMark/>
          </w:tcPr>
          <w:p w14:paraId="402FF01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1.02</w:t>
            </w:r>
          </w:p>
        </w:tc>
        <w:tc>
          <w:tcPr>
            <w:tcW w:w="1997" w:type="dxa"/>
            <w:vAlign w:val="center"/>
            <w:hideMark/>
          </w:tcPr>
          <w:p w14:paraId="0A1A485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75</w:t>
            </w:r>
          </w:p>
        </w:tc>
        <w:tc>
          <w:tcPr>
            <w:tcW w:w="1997" w:type="dxa"/>
            <w:vAlign w:val="center"/>
            <w:hideMark/>
          </w:tcPr>
          <w:p w14:paraId="2D56355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85</w:t>
            </w:r>
          </w:p>
        </w:tc>
        <w:tc>
          <w:tcPr>
            <w:tcW w:w="2001" w:type="dxa"/>
            <w:vAlign w:val="center"/>
            <w:hideMark/>
          </w:tcPr>
          <w:p w14:paraId="5F48BDC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1.13</w:t>
            </w:r>
          </w:p>
        </w:tc>
      </w:tr>
      <w:tr w:rsidR="00D76C75" w:rsidRPr="00704E49" w14:paraId="156712D8"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Align w:val="center"/>
            <w:hideMark/>
          </w:tcPr>
          <w:p w14:paraId="6C65A62C" w14:textId="7696F782"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{"citationItems":[{"id":"ITEM-1","itemData":{"DOI":"10.1016/j.cemconres.2004.02.001","ISSN":"00088846","abstract":"The paper describes the results of a research aimed at studying the effect of replacing part of portland cement with fly ash and bottom ash, both from municipal solid waste incinerators (MSWIs). Fly ash was subjected to a washing treatment to reduce the chloride content, while bottom ash was subjected to dry or wet grinding underwater. Concretes with addition of different types of ashes, including a traditional coal fly ash (FA), were manufactured. Fresh and hardened properties of the concretes were compared in order to study the advantages and the side effects of each type of addition. Results showed that MSWI bottom ash is potentially attractive as mineral addition for the production of concrete, provided that the risk of entrapment of hydrogen bubbles produced by corrosion of aluminium metallic particles in the fresh concrete is prevented. This could be achieved by wet grinding the bottom ash so that reactions leading to gas development exhaust within the slurry before this is added to the concrete mixture. However, by considering bottom ashes from different incinerators, a great variability was observed in the time required to complete the hydrogen gas production. Nevertheless, when the hydrogen development in the fresh concrete could be avoided, wet ground MSWI bottom showed a good pozzolanic behavior and proved to give a significant contribution to the development of the strength and impermeability of concrete. © 2004 Elsevier Ltd. All rights reserved.","author":[{"dropping-particle":"","family":"Bertolini","given":"Luca","non-dropping-particle":"","parse-names":false,"suffix":""},{"dropping-particle":"","family":"Carsana","given":"Maddalena","non-dropping-particle":"","parse-names":false,"suffix":""},{"dropping-particle":"","family":"Cassago","given":"Davide","non-dropping-particle":"","parse-names":false,"suffix":""},{"dropping-particle":"","family":"Curzio","given":"Alessandro Quadrio","non-dropping-particle":"","parse-names":false,"suffix":""},{"dropping-particle":"","family":"Collepardi","given":"Mario","non-dropping-particle":"","parse-names":false,"suffix":""}],"container-title":"Cement and Concrete Research","id":"ITEM-1","issue":"10","issued":{"date-parts":[["2004"]]},"page":"1899-1906","title":"MSWI ashes as mineral additions in concrete","type":"article-journal","volume":"34"},"uris":["http://www.mendeley.com/documents/?uuid=0c04079a-841f-4291-92ef-d913bc41f02a"]}],"mendeley":{"formattedCitation":"(Bertolini et al., 2004)","plainTextFormattedCitation":"(Bertolini et al., 2004)","previouslyFormattedCitation":"(Bertolini et al., 2004)"},"properties":{"noteIndex":0},"schema":"https://github.com/citation-style-language/schema/raw/master/csl-citation.json"}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(Bertolini et al., 2004)</w:t>
            </w:r>
            <w:r w:rsidRPr="00704E49">
              <w:rPr>
                <w:rFonts w:ascii="Calibri" w:eastAsia="等线" w:hAnsi="Calibri" w:cs="Arial"/>
                <w:sz w:val="18"/>
                <w:szCs w:val="18"/>
                <w:lang w:val="en-GB"/>
              </w:rPr>
              <w:fldChar w:fldCharType="end"/>
            </w:r>
          </w:p>
        </w:tc>
        <w:tc>
          <w:tcPr>
            <w:tcW w:w="1986" w:type="dxa"/>
            <w:vAlign w:val="center"/>
            <w:hideMark/>
          </w:tcPr>
          <w:p w14:paraId="12A4CC0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65</w:t>
            </w:r>
          </w:p>
        </w:tc>
        <w:tc>
          <w:tcPr>
            <w:tcW w:w="1997" w:type="dxa"/>
            <w:vAlign w:val="center"/>
            <w:hideMark/>
          </w:tcPr>
          <w:p w14:paraId="57345E6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70</w:t>
            </w:r>
          </w:p>
        </w:tc>
        <w:tc>
          <w:tcPr>
            <w:tcW w:w="2001" w:type="dxa"/>
            <w:vAlign w:val="center"/>
            <w:hideMark/>
          </w:tcPr>
          <w:p w14:paraId="0F161C7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1.08</w:t>
            </w:r>
          </w:p>
        </w:tc>
        <w:tc>
          <w:tcPr>
            <w:tcW w:w="1997" w:type="dxa"/>
            <w:vAlign w:val="center"/>
            <w:hideMark/>
          </w:tcPr>
          <w:p w14:paraId="5E4EB78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71</w:t>
            </w:r>
          </w:p>
        </w:tc>
        <w:tc>
          <w:tcPr>
            <w:tcW w:w="1997" w:type="dxa"/>
            <w:vAlign w:val="center"/>
            <w:hideMark/>
          </w:tcPr>
          <w:p w14:paraId="0CE4908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vAlign w:val="center"/>
            <w:hideMark/>
          </w:tcPr>
          <w:p w14:paraId="3788C7D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2F2E081"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2E4AA17E" w14:textId="5C85939D"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{"citationItems":[{"id":"ITEM-1","itemData":{"DOI":"10.1002/maco.201608881","ISSN":"15214176","abstract":"Municipal solid waste incineration (MSWI) generates high amounts of bottom ash that, after grinding, could be used as mineral addition for concrete. Wet grinding of the bottom ash can prevent the risk of deleterious expansion due to hydrogen evolution, associated to the presence of metallic aluminium. The pozzolanic behavior of the bottom ash may improve concrete resistance to the penetration of aggressive species. Advantages of recycling wet-ground MSWI bottom ashes may even be higher when self-compacting concrete (SCC) is used, which requires large quantity of fine powders (usually more than 500 kg/m3) to prevent segregation of the fresh mix. This paper describes the results of a research aimed at investigating the use of wet-ground MSWI bottom ashes as mineral additions for the production of self-compacting concrete. Several types of mineral additions (MSWI bottom ash, coal fly ash, and ground limestone) were used in replacement of 15, 30, and 45% of Portland cement. The results showed that the MSWI ash, added to the mix as a fine slurry obtained by wet-grinding, led to the production of SCC concrete with compressive strength and resistance to chloride and carbonation similar, or even better, than those of concrete with same amount of coal fly ash.","author":[{"dropping-particle":"","family":"Carsana","given":"M","non-dropping-particle":"","parse-names":false,"suffix":""},{"dropping-particle":"","family":"Gastaldi","given":"M","non-dropping-particle":"","parse-names":false,"suffix":""},{"dropping-particle":"","family":"Lollini","given":"F","non-dropping-particle":"","parse-names":false,"suffix":""},{"dropping-particle":"","family":"Redaelli","given":"E","non-dropping-particle":"","parse-names":false,"suffix":""},{"dropping-particle":"","family":"Bertolini","given":"L","non-dropping-particle":"","parse-names":false,"suffix":""}],"container-title":"Materials and Corrosion","id":"ITEM-1","issue":"6","issued":{"date-parts":[["2016"]]},"page":"573-582","publisher":"Wiley-VCH Verlag","title":"Improving durability of reinforced concrete structures by recycling wet-ground MSWI bottom ash","type":"article-journal","volume":"67"},"uris":["http://www.mendeley.com/documents/?uuid=b999a24d-2a3c-43dc-80c8-1d4c0f22a858"]}],"mendeley":{"formattedCitation":"(Carsana et al., 2016)","plainTextFormattedCitation":"(Carsana et al., 2016)","previouslyFormattedCitation":"(Carsana et al., 2016)"},"properties":{"noteIndex":0},"schema":"https://github.com/citation-style-language/schema/raw/master/csl-citation.json"}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(Carsana et al., 2016)</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00221B0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65</w:t>
            </w:r>
          </w:p>
        </w:tc>
        <w:tc>
          <w:tcPr>
            <w:tcW w:w="1997" w:type="dxa"/>
            <w:tcBorders>
              <w:bottom w:val="nil"/>
            </w:tcBorders>
            <w:vAlign w:val="center"/>
            <w:hideMark/>
          </w:tcPr>
          <w:p w14:paraId="377343C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68</w:t>
            </w:r>
          </w:p>
        </w:tc>
        <w:tc>
          <w:tcPr>
            <w:tcW w:w="2001" w:type="dxa"/>
            <w:tcBorders>
              <w:bottom w:val="nil"/>
            </w:tcBorders>
            <w:vAlign w:val="center"/>
            <w:hideMark/>
          </w:tcPr>
          <w:p w14:paraId="5BFC865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1.05</w:t>
            </w:r>
          </w:p>
        </w:tc>
        <w:tc>
          <w:tcPr>
            <w:tcW w:w="1997" w:type="dxa"/>
            <w:tcBorders>
              <w:bottom w:val="nil"/>
            </w:tcBorders>
            <w:vAlign w:val="center"/>
            <w:hideMark/>
          </w:tcPr>
          <w:p w14:paraId="01BA4C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71</w:t>
            </w:r>
          </w:p>
        </w:tc>
        <w:tc>
          <w:tcPr>
            <w:tcW w:w="1997" w:type="dxa"/>
            <w:tcBorders>
              <w:bottom w:val="nil"/>
            </w:tcBorders>
            <w:vAlign w:val="center"/>
            <w:hideMark/>
          </w:tcPr>
          <w:p w14:paraId="63274A4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84</w:t>
            </w:r>
          </w:p>
        </w:tc>
        <w:tc>
          <w:tcPr>
            <w:tcW w:w="2001" w:type="dxa"/>
            <w:tcBorders>
              <w:bottom w:val="nil"/>
            </w:tcBorders>
            <w:vAlign w:val="center"/>
            <w:hideMark/>
          </w:tcPr>
          <w:p w14:paraId="7559D95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1.18</w:t>
            </w:r>
          </w:p>
        </w:tc>
      </w:tr>
      <w:tr w:rsidR="00D76C75" w:rsidRPr="00704E49" w14:paraId="6FD09BB3"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0A9B73E2"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8B94F5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65</w:t>
            </w:r>
          </w:p>
        </w:tc>
        <w:tc>
          <w:tcPr>
            <w:tcW w:w="1997" w:type="dxa"/>
            <w:tcBorders>
              <w:top w:val="nil"/>
              <w:bottom w:val="nil"/>
            </w:tcBorders>
            <w:vAlign w:val="center"/>
            <w:hideMark/>
          </w:tcPr>
          <w:p w14:paraId="4826675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62</w:t>
            </w:r>
          </w:p>
        </w:tc>
        <w:tc>
          <w:tcPr>
            <w:tcW w:w="2001" w:type="dxa"/>
            <w:tcBorders>
              <w:top w:val="nil"/>
              <w:bottom w:val="nil"/>
            </w:tcBorders>
            <w:vAlign w:val="center"/>
            <w:hideMark/>
          </w:tcPr>
          <w:p w14:paraId="04577C8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0.95</w:t>
            </w:r>
          </w:p>
        </w:tc>
        <w:tc>
          <w:tcPr>
            <w:tcW w:w="1997" w:type="dxa"/>
            <w:tcBorders>
              <w:top w:val="nil"/>
              <w:bottom w:val="nil"/>
            </w:tcBorders>
            <w:vAlign w:val="center"/>
            <w:hideMark/>
          </w:tcPr>
          <w:p w14:paraId="2B510D8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71</w:t>
            </w:r>
          </w:p>
        </w:tc>
        <w:tc>
          <w:tcPr>
            <w:tcW w:w="1997" w:type="dxa"/>
            <w:tcBorders>
              <w:top w:val="nil"/>
              <w:bottom w:val="nil"/>
            </w:tcBorders>
            <w:vAlign w:val="center"/>
            <w:hideMark/>
          </w:tcPr>
          <w:p w14:paraId="5F81B12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0D75808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5CFD685"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30F20802"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5029F07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61</w:t>
            </w:r>
          </w:p>
        </w:tc>
        <w:tc>
          <w:tcPr>
            <w:tcW w:w="1997" w:type="dxa"/>
            <w:tcBorders>
              <w:top w:val="nil"/>
            </w:tcBorders>
            <w:vAlign w:val="center"/>
            <w:hideMark/>
          </w:tcPr>
          <w:p w14:paraId="73FA165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42</w:t>
            </w:r>
          </w:p>
        </w:tc>
        <w:tc>
          <w:tcPr>
            <w:tcW w:w="2001" w:type="dxa"/>
            <w:tcBorders>
              <w:top w:val="nil"/>
            </w:tcBorders>
            <w:vAlign w:val="center"/>
            <w:hideMark/>
          </w:tcPr>
          <w:p w14:paraId="5C37C1A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0.69</w:t>
            </w:r>
          </w:p>
        </w:tc>
        <w:tc>
          <w:tcPr>
            <w:tcW w:w="1997" w:type="dxa"/>
            <w:tcBorders>
              <w:top w:val="nil"/>
            </w:tcBorders>
            <w:vAlign w:val="center"/>
            <w:hideMark/>
          </w:tcPr>
          <w:p w14:paraId="620DDAF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4897379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6C3D46B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7C2CA5B"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11656A96" w14:textId="7BB7F7FA"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{"citationItems":[{"id":"ITEM-1","itemData":{"DOI":"10.1016/j.cemconcomp.2016.03.015","ISSN":"09589465","abstract":"Untreated municipal solid waste incineration (MSWI) bottom ash fines (0-2 mm) have poor pozzolanic properties, and contain substances which can pose an environmental risk (e.g. heavy metals and salts). This study investigates combined treatments applied on bottom ash fines (BAF) to increase their reactivity. The treated BAF is compared with both untreated BAF and cement, and its contribution to cement hydration is investigated. Additionally, the utilization of the treated BAF in mortar as cement replacement is tested. Finally, the leaching properties of mortars containing treated and untreated BAF are estimated. According to the results obtained, the 28-day compressive and flexural strengths of mortar with 30% treated bottom ash are about 16% and 6% lower than the reference mortar, respectively. The leaching of contaminants from the crushed mortars with BAF are well under the limit values imposed by Dutch legislation.","author":[{"dropping-particle":"","family":"Tang","given":"P","non-dropping-particle":"","parse-names":false,"suffix":""},{"dropping-particle":"","family":"Florea","given":"M V A","non-dropping-particle":"","parse-names":false,"suffix":""},{"dropping-particle":"","family":"Spiesz","given":"P","non-dropping-particle":"","parse-names":false,"suffix":""},{"dropping-particle":"","family":"Brouwers","given":"H J H","non-dropping-particle":"","parse-names":false,"suffix":""}],"container-title":"Cement and Concrete Composites","id":"ITEM-1","issued":{"date-parts":[["2016"]]},"page":"194-205","publisher":"Elsevier Ltd","title":"Application of thermally activated municipal solid waste incineration (MSWI) bottom ash fines as binder substitute","type":"article-journal","volume":"70"},"uris":["http://www.mendeley.com/documents/?uuid=0005e000-9b67-4026-9ca4-76e7ace71cfe"]}],"mendeley":{"formattedCitation":"(P Tang et al., 2016)","plainTextFormattedCitation":"(P Tang et al., 2016)","previouslyFormattedCitation":"(P Tang et al., 2016)"},"properties":{"noteIndex":0},"schema":"https://github.com/citation-style-language/schema/raw/master/csl-citation.json"}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(P Tang et al., 2016)</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7AB6ADC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61</w:t>
            </w:r>
          </w:p>
        </w:tc>
        <w:tc>
          <w:tcPr>
            <w:tcW w:w="1997" w:type="dxa"/>
            <w:tcBorders>
              <w:bottom w:val="nil"/>
            </w:tcBorders>
            <w:vAlign w:val="center"/>
            <w:hideMark/>
          </w:tcPr>
          <w:p w14:paraId="4D36328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37</w:t>
            </w:r>
          </w:p>
        </w:tc>
        <w:tc>
          <w:tcPr>
            <w:tcW w:w="2001" w:type="dxa"/>
            <w:tcBorders>
              <w:bottom w:val="nil"/>
            </w:tcBorders>
            <w:vAlign w:val="center"/>
            <w:hideMark/>
          </w:tcPr>
          <w:p w14:paraId="333CCFD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0.61</w:t>
            </w:r>
          </w:p>
        </w:tc>
        <w:tc>
          <w:tcPr>
            <w:tcW w:w="1997" w:type="dxa"/>
            <w:tcBorders>
              <w:bottom w:val="nil"/>
            </w:tcBorders>
            <w:vAlign w:val="center"/>
            <w:hideMark/>
          </w:tcPr>
          <w:p w14:paraId="3EFE356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bottom w:val="nil"/>
            </w:tcBorders>
            <w:vAlign w:val="center"/>
            <w:hideMark/>
          </w:tcPr>
          <w:p w14:paraId="3954C45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bottom w:val="nil"/>
            </w:tcBorders>
            <w:vAlign w:val="center"/>
            <w:hideMark/>
          </w:tcPr>
          <w:p w14:paraId="03FDB98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A251FCD"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46D9D0E3"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D2F676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61</w:t>
            </w:r>
          </w:p>
        </w:tc>
        <w:tc>
          <w:tcPr>
            <w:tcW w:w="1997" w:type="dxa"/>
            <w:tcBorders>
              <w:top w:val="nil"/>
              <w:bottom w:val="nil"/>
            </w:tcBorders>
            <w:vAlign w:val="center"/>
            <w:hideMark/>
          </w:tcPr>
          <w:p w14:paraId="0E9F03E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51</w:t>
            </w:r>
          </w:p>
        </w:tc>
        <w:tc>
          <w:tcPr>
            <w:tcW w:w="2001" w:type="dxa"/>
            <w:tcBorders>
              <w:top w:val="nil"/>
              <w:bottom w:val="nil"/>
            </w:tcBorders>
            <w:vAlign w:val="center"/>
            <w:hideMark/>
          </w:tcPr>
          <w:p w14:paraId="0565B02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0.84</w:t>
            </w:r>
          </w:p>
        </w:tc>
        <w:tc>
          <w:tcPr>
            <w:tcW w:w="1997" w:type="dxa"/>
            <w:tcBorders>
              <w:top w:val="nil"/>
              <w:bottom w:val="nil"/>
            </w:tcBorders>
            <w:vAlign w:val="center"/>
            <w:hideMark/>
          </w:tcPr>
          <w:p w14:paraId="2924807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7861586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498A4FD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44F6636"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5D41E69E"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443931D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61</w:t>
            </w:r>
          </w:p>
        </w:tc>
        <w:tc>
          <w:tcPr>
            <w:tcW w:w="1997" w:type="dxa"/>
            <w:tcBorders>
              <w:top w:val="nil"/>
              <w:bottom w:val="nil"/>
            </w:tcBorders>
            <w:vAlign w:val="center"/>
            <w:hideMark/>
          </w:tcPr>
          <w:p w14:paraId="613AA56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39</w:t>
            </w:r>
          </w:p>
        </w:tc>
        <w:tc>
          <w:tcPr>
            <w:tcW w:w="2001" w:type="dxa"/>
            <w:tcBorders>
              <w:top w:val="nil"/>
              <w:bottom w:val="nil"/>
            </w:tcBorders>
            <w:vAlign w:val="center"/>
            <w:hideMark/>
          </w:tcPr>
          <w:p w14:paraId="21E9450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0.64</w:t>
            </w:r>
          </w:p>
        </w:tc>
        <w:tc>
          <w:tcPr>
            <w:tcW w:w="1997" w:type="dxa"/>
            <w:tcBorders>
              <w:top w:val="nil"/>
              <w:bottom w:val="nil"/>
            </w:tcBorders>
            <w:vAlign w:val="center"/>
            <w:hideMark/>
          </w:tcPr>
          <w:p w14:paraId="0D08FB4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C9B8F7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66DB40B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9F4DCD1"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7510C708"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1FB07E8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w:t>
            </w:r>
          </w:p>
        </w:tc>
        <w:tc>
          <w:tcPr>
            <w:tcW w:w="1997" w:type="dxa"/>
            <w:tcBorders>
              <w:top w:val="nil"/>
            </w:tcBorders>
            <w:vAlign w:val="center"/>
            <w:hideMark/>
          </w:tcPr>
          <w:p w14:paraId="50F4092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49</w:t>
            </w:r>
          </w:p>
        </w:tc>
        <w:tc>
          <w:tcPr>
            <w:tcW w:w="2001" w:type="dxa"/>
            <w:tcBorders>
              <w:top w:val="nil"/>
            </w:tcBorders>
            <w:vAlign w:val="center"/>
            <w:hideMark/>
          </w:tcPr>
          <w:p w14:paraId="3D0F981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0.94</w:t>
            </w:r>
          </w:p>
        </w:tc>
        <w:tc>
          <w:tcPr>
            <w:tcW w:w="1997" w:type="dxa"/>
            <w:tcBorders>
              <w:top w:val="nil"/>
            </w:tcBorders>
            <w:vAlign w:val="center"/>
            <w:hideMark/>
          </w:tcPr>
          <w:p w14:paraId="1A49DD4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58</w:t>
            </w:r>
          </w:p>
        </w:tc>
        <w:tc>
          <w:tcPr>
            <w:tcW w:w="1997" w:type="dxa"/>
            <w:tcBorders>
              <w:top w:val="nil"/>
            </w:tcBorders>
            <w:vAlign w:val="center"/>
            <w:hideMark/>
          </w:tcPr>
          <w:p w14:paraId="1EB9E3F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56</w:t>
            </w:r>
          </w:p>
        </w:tc>
        <w:tc>
          <w:tcPr>
            <w:tcW w:w="2001" w:type="dxa"/>
            <w:tcBorders>
              <w:top w:val="nil"/>
            </w:tcBorders>
            <w:vAlign w:val="center"/>
            <w:hideMark/>
          </w:tcPr>
          <w:p w14:paraId="5C6BADB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0.97</w:t>
            </w:r>
          </w:p>
        </w:tc>
      </w:tr>
      <w:tr w:rsidR="00D76C75" w:rsidRPr="00704E49" w14:paraId="4A3BCDB4"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Align w:val="center"/>
            <w:hideMark/>
          </w:tcPr>
          <w:p w14:paraId="31C7F766" w14:textId="5E28E72B"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{"citationItems":[{"id":"ITEM-1","itemData":{"DOI":"10.1016/j.resconrec.2020.105354","ISSN":"18790658","abstract":"Increasing amounts of waste are incinerated every year; therefore, the amount of Municipal Solid Waste Incineration Bottom Ash (MSWI BA) also increases. At the same time, limited landfill space and the goal of achieving a circular economy dictate the search for MSWI BA applications. Large fractions are successfully used to replace aggregates in concrete, but the MSWI BA fraction &lt; 3 mm has several disadvantages, such as high porosity and high contamination that make its application as aggregate or cement replacement difficult. However, finding a tailored treatment can turn these fines into a potential filler material (Minor Additional Constituent, MAC, 5% w/w) in Portland cement. This paper investigates milled fines that were produced out of MSWI BA fines (0.125–3 mm) to match the size distribution of CEM I 52.5 R and CEM I 42.5 N. They are also compared to the untreated fines (&lt; 0.125 mm) from the same MSWI BA. The influence of milling on the fines was investigated by SEM (morphological analysis) and the leaching test to assess the potential environmental impact. Studied by isothermal calorimetry, the effect of the designed fines on cement hydration appears to be very small and the results for the mechanical performance of mortars show that all fines examined in the study might be considered as potential MACs.","author":[{"dropping-particle":"","family":"Loginova","given":"E","non-dropping-particle":"","parse-names":false,"suffix":""},{"dropping-particle":"","family":"Schollbach","given":"K","non-dropping-particle":"","parse-names":false,"suffix":""},{"dropping-particle":"","family":"Proskurnin","given":"M","non-dropping-particle":"","parse-names":false,"suffix":""},{"dropping-particle":"","family":"Brouwers","given":"H J H","non-dropping-particle":"","parse-names":false,"suffix":""}],"container-title":"Resources, Conservation and Recycling","id":"ITEM-1","issued":{"date-parts":[["2021"]]},"publisher":"Elsevier B.V.","title":"Municipal solid waste incineration bottom ash fines: Transformation into a minor additional constituent for cements","type":"article-journal","volume":"166"},"uris":["http://www.mendeley.com/documents/?uuid=807702fb-03d2-41a9-bee9-7ee6eb4de6f2"]}],"mendeley":{"formattedCitation":"(Loginova et al., 2021)","plainTextFormattedCitation":"(Loginova et al., 2021)","previouslyFormattedCitation":"(Loginova et al., 2021)"},"properties":{"noteIndex":0},"schema":"https://github.com/citation-style-language/schema/raw/master/csl-citation.json"}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(Loginova et al., 2021)</w:t>
            </w:r>
            <w:r w:rsidRPr="00704E49">
              <w:rPr>
                <w:rFonts w:ascii="Calibri" w:eastAsia="等线" w:hAnsi="Calibri" w:cs="Arial"/>
                <w:sz w:val="18"/>
                <w:szCs w:val="18"/>
                <w:lang w:val="en-GB"/>
              </w:rPr>
              <w:fldChar w:fldCharType="end"/>
            </w:r>
          </w:p>
        </w:tc>
        <w:tc>
          <w:tcPr>
            <w:tcW w:w="1986" w:type="dxa"/>
            <w:vAlign w:val="center"/>
            <w:hideMark/>
          </w:tcPr>
          <w:p w14:paraId="5F6AC3B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vAlign w:val="center"/>
            <w:hideMark/>
          </w:tcPr>
          <w:p w14:paraId="1DE4390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78</w:t>
            </w:r>
          </w:p>
        </w:tc>
        <w:tc>
          <w:tcPr>
            <w:tcW w:w="2001" w:type="dxa"/>
            <w:vAlign w:val="center"/>
            <w:hideMark/>
          </w:tcPr>
          <w:p w14:paraId="576B7AD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0.89</w:t>
            </w:r>
          </w:p>
        </w:tc>
        <w:tc>
          <w:tcPr>
            <w:tcW w:w="1997" w:type="dxa"/>
            <w:vAlign w:val="center"/>
            <w:hideMark/>
          </w:tcPr>
          <w:p w14:paraId="5154224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vAlign w:val="center"/>
            <w:hideMark/>
          </w:tcPr>
          <w:p w14:paraId="23B4FDE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2001" w:type="dxa"/>
            <w:vAlign w:val="center"/>
            <w:hideMark/>
          </w:tcPr>
          <w:p w14:paraId="717C57A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0.91</w:t>
            </w:r>
          </w:p>
        </w:tc>
      </w:tr>
      <w:tr w:rsidR="00D76C75" w:rsidRPr="00704E49" w14:paraId="6102C91A"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734F4E06" w14:textId="4B6862EE"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{"citationItems":[{"id":"ITEM-1","itemData":{"DOI":"https://doi.org/10.1016/j.cemconres.2024.107440","ISSN":"0008-8846","abstract":"This research explored the microstructure formation and strength development of blended cement pastes prepared with municipal solid waste incineration (MSWI) bottom ash. A new sample preparation approach involving water treatment of MSWI bottom ash was developed to prevent sample cracking caused by the presence of metallic aluminum (Al) in bottom ash. The result showed that ions released during water treatment of MSWI bottom ash delayed cement hydration but promoted ettringite formation in blended cement pastes during the first day. Due to water treatment, the compressive strength of MSWI bottom ash blended cement paste increased to a level similar to that of Class F coal fly ash blended cement paste after 28 days. Blending water-treated MSWI bottom ash (WMBA) with cement promoted clinker hydration at later stages. The reaction products of WMBA in blended cement system were C-S-H gel and sodicgedrite, which contributed to strength development by filling the capillary pores.","author":[{"dropping-particle":"","family":"Chen","given":"Boyu","non-dropping-particle":"","parse-names":false,"suffix":""},{"dropping-particle":"","family":"Ye","given":"Guang","non-dropping-particle":"","parse-names":false,"suffix":""}],"container-title":"Cement and Concrete Research","id":"ITEM-1","issued":{"date-parts":[["2024"]]},"page":"107440","title":"The role of water-treated municipal solid waste incineration (MSWI) bottom ash in microstructure formation and strength development of blended cement pastes","type":"article-journal","volume":"178"},"uris":["http://www.mendeley.com/documents/?uuid=60744a38-0138-43fa-bef3-ba7a0ac0b891"]}],"mendeley":{"formattedCitation":"(B. Chen &amp; Ye, 2024)","plainTextFormattedCitation":"(B. Chen &amp; Ye, 2024)","previouslyFormattedCitation":"(B. Chen &amp; Ye, 2024)"},"properties":{"noteIndex":0},"schema":"https://github.com/citation-style-language/schema/raw/master/csl-citation.json"}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(B. Chen &amp; Ye, 2024)</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4471420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tcBorders>
              <w:bottom w:val="nil"/>
            </w:tcBorders>
            <w:vAlign w:val="center"/>
            <w:hideMark/>
          </w:tcPr>
          <w:p w14:paraId="47FDE3B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68</w:t>
            </w:r>
          </w:p>
        </w:tc>
        <w:tc>
          <w:tcPr>
            <w:tcW w:w="2001" w:type="dxa"/>
            <w:tcBorders>
              <w:bottom w:val="nil"/>
            </w:tcBorders>
            <w:vAlign w:val="center"/>
            <w:hideMark/>
          </w:tcPr>
          <w:p w14:paraId="7216155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0.77</w:t>
            </w:r>
          </w:p>
        </w:tc>
        <w:tc>
          <w:tcPr>
            <w:tcW w:w="1997" w:type="dxa"/>
            <w:tcBorders>
              <w:bottom w:val="nil"/>
            </w:tcBorders>
            <w:vAlign w:val="center"/>
            <w:hideMark/>
          </w:tcPr>
          <w:p w14:paraId="543E4C8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tcBorders>
              <w:bottom w:val="nil"/>
            </w:tcBorders>
            <w:vAlign w:val="center"/>
            <w:hideMark/>
          </w:tcPr>
          <w:p w14:paraId="7509C1D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82</w:t>
            </w:r>
          </w:p>
        </w:tc>
        <w:tc>
          <w:tcPr>
            <w:tcW w:w="2001" w:type="dxa"/>
            <w:tcBorders>
              <w:bottom w:val="nil"/>
            </w:tcBorders>
            <w:vAlign w:val="center"/>
            <w:hideMark/>
          </w:tcPr>
          <w:p w14:paraId="125EFC5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0.85</w:t>
            </w:r>
          </w:p>
        </w:tc>
      </w:tr>
      <w:tr w:rsidR="00D76C75" w:rsidRPr="00704E49" w14:paraId="1E4543F1"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42E9D931"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03DF21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tcBorders>
              <w:top w:val="nil"/>
              <w:bottom w:val="nil"/>
            </w:tcBorders>
            <w:vAlign w:val="center"/>
            <w:hideMark/>
          </w:tcPr>
          <w:p w14:paraId="037DF6B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56</w:t>
            </w:r>
          </w:p>
        </w:tc>
        <w:tc>
          <w:tcPr>
            <w:tcW w:w="2001" w:type="dxa"/>
            <w:tcBorders>
              <w:top w:val="nil"/>
              <w:bottom w:val="nil"/>
            </w:tcBorders>
            <w:vAlign w:val="center"/>
            <w:hideMark/>
          </w:tcPr>
          <w:p w14:paraId="126D819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0.64</w:t>
            </w:r>
          </w:p>
        </w:tc>
        <w:tc>
          <w:tcPr>
            <w:tcW w:w="1997" w:type="dxa"/>
            <w:tcBorders>
              <w:top w:val="nil"/>
              <w:bottom w:val="nil"/>
            </w:tcBorders>
            <w:vAlign w:val="center"/>
            <w:hideMark/>
          </w:tcPr>
          <w:p w14:paraId="0E11A54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tcBorders>
              <w:top w:val="nil"/>
              <w:bottom w:val="nil"/>
            </w:tcBorders>
            <w:vAlign w:val="center"/>
            <w:hideMark/>
          </w:tcPr>
          <w:p w14:paraId="55FD337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71</w:t>
            </w:r>
          </w:p>
        </w:tc>
        <w:tc>
          <w:tcPr>
            <w:tcW w:w="2001" w:type="dxa"/>
            <w:tcBorders>
              <w:top w:val="nil"/>
              <w:bottom w:val="nil"/>
            </w:tcBorders>
            <w:vAlign w:val="center"/>
            <w:hideMark/>
          </w:tcPr>
          <w:p w14:paraId="6DACEE7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0.73</w:t>
            </w:r>
          </w:p>
        </w:tc>
      </w:tr>
      <w:tr w:rsidR="00D76C75" w:rsidRPr="00704E49" w14:paraId="60A7861D"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624C4000"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22403CD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tcBorders>
              <w:top w:val="nil"/>
              <w:bottom w:val="nil"/>
            </w:tcBorders>
            <w:vAlign w:val="center"/>
            <w:hideMark/>
          </w:tcPr>
          <w:p w14:paraId="156A826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60</w:t>
            </w:r>
          </w:p>
        </w:tc>
        <w:tc>
          <w:tcPr>
            <w:tcW w:w="2001" w:type="dxa"/>
            <w:tcBorders>
              <w:top w:val="nil"/>
              <w:bottom w:val="nil"/>
            </w:tcBorders>
            <w:vAlign w:val="center"/>
            <w:hideMark/>
          </w:tcPr>
          <w:p w14:paraId="3218BCA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0.68</w:t>
            </w:r>
          </w:p>
        </w:tc>
        <w:tc>
          <w:tcPr>
            <w:tcW w:w="1997" w:type="dxa"/>
            <w:tcBorders>
              <w:top w:val="nil"/>
              <w:bottom w:val="nil"/>
            </w:tcBorders>
            <w:vAlign w:val="center"/>
            <w:hideMark/>
          </w:tcPr>
          <w:p w14:paraId="7A09037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tcBorders>
              <w:top w:val="nil"/>
              <w:bottom w:val="nil"/>
            </w:tcBorders>
            <w:vAlign w:val="center"/>
            <w:hideMark/>
          </w:tcPr>
          <w:p w14:paraId="46D7C98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5F5BD28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0BE3B70"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15D0EBE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AF740A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tcBorders>
              <w:top w:val="nil"/>
              <w:bottom w:val="nil"/>
            </w:tcBorders>
            <w:vAlign w:val="center"/>
            <w:hideMark/>
          </w:tcPr>
          <w:p w14:paraId="4A774B6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w:t>
            </w:r>
          </w:p>
        </w:tc>
        <w:tc>
          <w:tcPr>
            <w:tcW w:w="2001" w:type="dxa"/>
            <w:tcBorders>
              <w:top w:val="nil"/>
              <w:bottom w:val="nil"/>
            </w:tcBorders>
            <w:vAlign w:val="center"/>
            <w:hideMark/>
          </w:tcPr>
          <w:p w14:paraId="5D94DCB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0.52</w:t>
            </w:r>
          </w:p>
        </w:tc>
        <w:tc>
          <w:tcPr>
            <w:tcW w:w="1997" w:type="dxa"/>
            <w:tcBorders>
              <w:top w:val="nil"/>
              <w:bottom w:val="nil"/>
            </w:tcBorders>
            <w:vAlign w:val="center"/>
            <w:hideMark/>
          </w:tcPr>
          <w:p w14:paraId="32E3ABE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tcBorders>
              <w:top w:val="nil"/>
              <w:bottom w:val="nil"/>
            </w:tcBorders>
            <w:vAlign w:val="center"/>
            <w:hideMark/>
          </w:tcPr>
          <w:p w14:paraId="63466D7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1FE2896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5CDB075" w14:textId="77777777" w:rsidTr="00D76C75">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2CFB1DA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single" w:sz="4" w:space="0" w:color="7F7F7F"/>
            </w:tcBorders>
            <w:vAlign w:val="center"/>
            <w:hideMark/>
          </w:tcPr>
          <w:p w14:paraId="38ADE4C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88</w:t>
            </w:r>
          </w:p>
        </w:tc>
        <w:tc>
          <w:tcPr>
            <w:tcW w:w="1997" w:type="dxa"/>
            <w:tcBorders>
              <w:top w:val="nil"/>
              <w:bottom w:val="single" w:sz="4" w:space="0" w:color="7F7F7F"/>
            </w:tcBorders>
            <w:vAlign w:val="center"/>
            <w:hideMark/>
          </w:tcPr>
          <w:p w14:paraId="022DFD2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38</w:t>
            </w:r>
          </w:p>
        </w:tc>
        <w:tc>
          <w:tcPr>
            <w:tcW w:w="2001" w:type="dxa"/>
            <w:tcBorders>
              <w:top w:val="nil"/>
              <w:bottom w:val="single" w:sz="4" w:space="0" w:color="7F7F7F"/>
            </w:tcBorders>
            <w:vAlign w:val="center"/>
            <w:hideMark/>
          </w:tcPr>
          <w:p w14:paraId="3955CC1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0.43</w:t>
            </w:r>
          </w:p>
        </w:tc>
        <w:tc>
          <w:tcPr>
            <w:tcW w:w="1997" w:type="dxa"/>
            <w:tcBorders>
              <w:top w:val="nil"/>
              <w:bottom w:val="single" w:sz="4" w:space="0" w:color="7F7F7F"/>
            </w:tcBorders>
            <w:vAlign w:val="center"/>
            <w:hideMark/>
          </w:tcPr>
          <w:p w14:paraId="2B8338B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97</w:t>
            </w:r>
          </w:p>
        </w:tc>
        <w:tc>
          <w:tcPr>
            <w:tcW w:w="1997" w:type="dxa"/>
            <w:tcBorders>
              <w:top w:val="nil"/>
              <w:bottom w:val="single" w:sz="4" w:space="0" w:color="7F7F7F"/>
            </w:tcBorders>
            <w:vAlign w:val="center"/>
            <w:hideMark/>
          </w:tcPr>
          <w:p w14:paraId="6422C0D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single" w:sz="4" w:space="0" w:color="7F7F7F"/>
            </w:tcBorders>
            <w:vAlign w:val="center"/>
            <w:hideMark/>
          </w:tcPr>
          <w:p w14:paraId="244C7FC0"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84F5251"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5EF74BD3" w14:textId="5941E16B"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{"citationItems":[{"id":"ITEM-1","itemData":{"DOI":"https://doi.org/10.1016/j.conbuildmat.2024.135769","ISSN":"0950-0618","abstract":"With the development of waste recovery techniques, previous research has revealed that coarse fractions of municipal solid waste incineration (MSWI) bottom ash (BA) after proper treatment could be applied in the construction sector, while the fines are seldom recovered in practice and normally landfilled. This study explores the potential application of fine MSWI BA (0–2 mm) as a supplementary cementitious material (SCM) in Portland cement (PC) mixtures. Mechanical and chemical pre-treatment approaches have been designed with various conditions to optimize the treating process. The chemical and mineralogical compositions, as well as the metallic Al content in BA were characterized before and after the pre-treatment. It was found that both methods are effective in removing the metallic Al content in BA, Moreover, BA derived from mechanical treatment exhibited more contribution to the hydration reaction in PC mixtures, as revealed by the amount of reaction products and mineral phases formed in hardened trial mixtures. BA obtained was further partially blended in PC mortars to evaluate the performance as compared to SCMs and inert fillers. It was found that treated BA resulted in a slight retarding effect on the reaction kinetics. Treated BA behaved better than the coal fly ash to contribute to the strength development, while the inclusion of BA did not lead to significant influences on the workability.","author":[{"dropping-particle":"","family":"Sun","given":"Yubo","non-dropping-particle":"","parse-names":false,"suffix":""},{"dropping-particle":"","family":"Chen","given":"Boyu","non-dropping-particle":"","parse-names":false,"suffix":""},{"dropping-particle":"","family":"Zhang","given":"Shizhe","non-dropping-particle":"","parse-names":false,"suffix":""},{"dropping-particle":"","family":"Blom","given":"Kees","non-dropping-particle":"","parse-names":false,"suffix":""},{"dropping-particle":"","family":"Luković","given":"Mladena","non-dropping-particle":"","parse-names":false,"suffix":""},{"dropping-particle":"","family":"Ye","given":"Guang","non-dropping-particle":"","parse-names":false,"suffix":""}],"container-title":"Construction and Building Materials","id":"ITEM-1","issued":{"date-parts":[["2024"]]},"page":"135769","title":"Characterization, pre-treatment, and potential applications of fine MSWI bottom ash as a supplementary cementitious material","type":"article-journal","volume":"421"},"uris":["http://www.mendeley.com/documents/?uuid=d63d3c8a-4442-48d1-af62-a73195c59531"]}],"mendeley":{"formattedCitation":"(Sun et al., 2024)","plainTextFormattedCitation":"(Sun et al., 2024)","previouslyFormattedCitation":"(Sun et al., 2024)"},"properties":{"noteIndex":0},"schema":"https://github.com/citation-style-language/schema/raw/master/csl-citation.json"}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(Sun et al., 2024)</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5024B6E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54</w:t>
            </w:r>
          </w:p>
        </w:tc>
        <w:tc>
          <w:tcPr>
            <w:tcW w:w="1997" w:type="dxa"/>
            <w:tcBorders>
              <w:bottom w:val="nil"/>
            </w:tcBorders>
            <w:vAlign w:val="center"/>
            <w:hideMark/>
          </w:tcPr>
          <w:p w14:paraId="2B892F7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45</w:t>
            </w:r>
          </w:p>
        </w:tc>
        <w:tc>
          <w:tcPr>
            <w:tcW w:w="2001" w:type="dxa"/>
            <w:tcBorders>
              <w:bottom w:val="nil"/>
            </w:tcBorders>
            <w:vAlign w:val="center"/>
            <w:hideMark/>
          </w:tcPr>
          <w:p w14:paraId="48EF55A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0.83</w:t>
            </w:r>
          </w:p>
        </w:tc>
        <w:tc>
          <w:tcPr>
            <w:tcW w:w="1997" w:type="dxa"/>
            <w:tcBorders>
              <w:bottom w:val="nil"/>
            </w:tcBorders>
            <w:vAlign w:val="center"/>
            <w:hideMark/>
          </w:tcPr>
          <w:p w14:paraId="20B6BF7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bottom w:val="nil"/>
            </w:tcBorders>
            <w:vAlign w:val="center"/>
            <w:hideMark/>
          </w:tcPr>
          <w:p w14:paraId="1DDB139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bottom w:val="nil"/>
            </w:tcBorders>
            <w:vAlign w:val="center"/>
            <w:hideMark/>
          </w:tcPr>
          <w:p w14:paraId="788C456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6431E81"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bottom w:val="single" w:sz="4" w:space="0" w:color="auto"/>
            </w:tcBorders>
            <w:vAlign w:val="center"/>
            <w:hideMark/>
          </w:tcPr>
          <w:p w14:paraId="5615B56E"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single" w:sz="4" w:space="0" w:color="auto"/>
            </w:tcBorders>
            <w:vAlign w:val="center"/>
            <w:hideMark/>
          </w:tcPr>
          <w:p w14:paraId="19DE2C2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54</w:t>
            </w:r>
          </w:p>
        </w:tc>
        <w:tc>
          <w:tcPr>
            <w:tcW w:w="1997" w:type="dxa"/>
            <w:tcBorders>
              <w:top w:val="nil"/>
              <w:bottom w:val="single" w:sz="4" w:space="0" w:color="auto"/>
            </w:tcBorders>
            <w:vAlign w:val="center"/>
            <w:hideMark/>
          </w:tcPr>
          <w:p w14:paraId="7B50C34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w:t>
            </w:r>
          </w:p>
        </w:tc>
        <w:tc>
          <w:tcPr>
            <w:tcW w:w="2001" w:type="dxa"/>
            <w:tcBorders>
              <w:top w:val="nil"/>
              <w:bottom w:val="single" w:sz="4" w:space="0" w:color="auto"/>
            </w:tcBorders>
            <w:vAlign w:val="center"/>
            <w:hideMark/>
          </w:tcPr>
          <w:p w14:paraId="6460AFA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0.65</w:t>
            </w:r>
          </w:p>
        </w:tc>
        <w:tc>
          <w:tcPr>
            <w:tcW w:w="1997" w:type="dxa"/>
            <w:tcBorders>
              <w:top w:val="nil"/>
              <w:bottom w:val="single" w:sz="4" w:space="0" w:color="auto"/>
            </w:tcBorders>
            <w:vAlign w:val="center"/>
            <w:hideMark/>
          </w:tcPr>
          <w:p w14:paraId="6C401F8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single" w:sz="4" w:space="0" w:color="auto"/>
            </w:tcBorders>
            <w:vAlign w:val="center"/>
            <w:hideMark/>
          </w:tcPr>
          <w:p w14:paraId="7306EAF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single" w:sz="4" w:space="0" w:color="auto"/>
            </w:tcBorders>
            <w:vAlign w:val="center"/>
            <w:hideMark/>
          </w:tcPr>
          <w:p w14:paraId="6B70ED0E"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14595EA2"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tcBorders>
              <w:top w:val="single" w:sz="4" w:space="0" w:color="auto"/>
              <w:bottom w:val="nil"/>
            </w:tcBorders>
            <w:vAlign w:val="center"/>
            <w:hideMark/>
          </w:tcPr>
          <w:p w14:paraId="37F634C6" w14:textId="4CEEC867"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 xml:space="preserve">ADDIN CSL_CITATION {"citationItems":[{"id":"ITEM-1","itemData":{"DOI":"10.1016/j.wasman.2005.10.016","ISSN":"0956053X","PMID":"16448812","abstract":"In the combustion process of municipal solid waste (MSW), bottom ash (BA) represents the major portion of the solid residue. Since BA is composed of oxides, especially SiO2 and CaO, the feasibility of its application in concrete as a substitute for cement was tested. It was found that at the age of 28 days, the flexural and compressive strengths of the binder linearly decrease at the rate of 0.03 and 0.02 MPa per wt% of BA in the binder, respectively. According to the results it may be recommended to replace up to 15 wt% of cement by BA and to use such binder where a low strength of concrete elements is required. Furthermore, the aggregate used for low strength concrete need not be of a very good quality. Therefore, gravel aggregate was partially replaced by recycled aggregate (RA). Consistency measured by slump was significantly reduced (&gt;50%) when BA or/and RA were introduced into the mixture. However, concrete density and compressive strength were not affected and were </w:instrText>
            </w:r>
            <w:r w:rsidR="005E7D08" w:rsidRPr="00704E49">
              <w:rPr>
                <w:rFonts w:ascii="Cambria Math" w:eastAsia="等线" w:hAnsi="Cambria Math" w:cs="Cambria Math"/>
                <w:sz w:val="18"/>
                <w:szCs w:val="18"/>
                <w:lang w:val="en-GB"/>
              </w:rPr>
              <w:instrText>∼</w:instrText>
            </w:r>
            <w:r w:rsidR="005E7D08" w:rsidRPr="00704E49">
              <w:rPr>
                <w:rFonts w:ascii="Calibri" w:eastAsia="等线" w:hAnsi="Calibri" w:cs="Arial"/>
                <w:sz w:val="18"/>
                <w:szCs w:val="18"/>
                <w:lang w:val="en-GB"/>
              </w:rPr>
              <w:instrText xml:space="preserve">2300 kg/m3 and </w:instrText>
            </w:r>
            <w:r w:rsidR="005E7D08" w:rsidRPr="00704E49">
              <w:rPr>
                <w:rFonts w:ascii="Cambria Math" w:eastAsia="等线" w:hAnsi="Cambria Math" w:cs="Cambria Math"/>
                <w:sz w:val="18"/>
                <w:szCs w:val="18"/>
                <w:lang w:val="en-GB"/>
              </w:rPr>
              <w:instrText>∼</w:instrText>
            </w:r>
            <w:r w:rsidR="005E7D08" w:rsidRPr="00704E49">
              <w:rPr>
                <w:rFonts w:ascii="Calibri" w:eastAsia="等线" w:hAnsi="Calibri" w:cs="Arial"/>
                <w:sz w:val="18"/>
                <w:szCs w:val="18"/>
                <w:lang w:val="en-GB"/>
              </w:rPr>
              <w:instrText xml:space="preserve">40 MPa, respectively. </w:instrText>
            </w:r>
            <w:r w:rsidR="005E7D08" w:rsidRPr="00704E49">
              <w:rPr>
                <w:rFonts w:ascii="Calibri" w:eastAsia="等线" w:hAnsi="Calibri" w:cs="Calibri"/>
                <w:sz w:val="18"/>
                <w:szCs w:val="18"/>
                <w:lang w:val="en-GB"/>
              </w:rPr>
              <w:instrText>©</w:instrText>
            </w:r>
            <w:r w:rsidR="005E7D08" w:rsidRPr="00704E49">
              <w:rPr>
                <w:rFonts w:ascii="Calibri" w:eastAsia="等线" w:hAnsi="Calibri" w:cs="Arial"/>
                <w:sz w:val="18"/>
                <w:szCs w:val="18"/>
                <w:lang w:val="en-GB"/>
              </w:rPr>
              <w:instrText xml:space="preserve"> 2005 Elsevier Ltd. All rights reserved.","author":[{"dropping-particle":"","family":"Juri</w:instrText>
            </w:r>
            <w:r w:rsidR="005E7D08" w:rsidRPr="00704E49">
              <w:rPr>
                <w:rFonts w:ascii="Calibri" w:eastAsia="等线" w:hAnsi="Calibri" w:cs="Calibri"/>
                <w:sz w:val="18"/>
                <w:szCs w:val="18"/>
                <w:lang w:val="en-GB"/>
              </w:rPr>
              <w:instrText>č</w:instrText>
            </w:r>
            <w:r w:rsidR="005E7D08" w:rsidRPr="00704E49">
              <w:rPr>
                <w:rFonts w:ascii="Calibri" w:eastAsia="等线" w:hAnsi="Calibri" w:cs="Arial"/>
                <w:sz w:val="18"/>
                <w:szCs w:val="18"/>
                <w:lang w:val="en-GB"/>
              </w:rPr>
              <w:instrText>","given":"B","non-dropping-particle":"","parse-names":false,"suffix":""},{"dropping-particle":"","family":"Han</w:instrText>
            </w:r>
            <w:r w:rsidR="005E7D08" w:rsidRPr="00704E49">
              <w:rPr>
                <w:rFonts w:ascii="Calibri" w:eastAsia="等线" w:hAnsi="Calibri" w:cs="Calibri"/>
                <w:sz w:val="18"/>
                <w:szCs w:val="18"/>
                <w:lang w:val="en-GB"/>
              </w:rPr>
              <w:instrText>ž</w:instrText>
            </w:r>
            <w:r w:rsidR="005E7D08" w:rsidRPr="00704E49">
              <w:rPr>
                <w:rFonts w:ascii="Calibri" w:eastAsia="等线" w:hAnsi="Calibri" w:cs="Arial"/>
                <w:sz w:val="18"/>
                <w:szCs w:val="18"/>
                <w:lang w:val="en-GB"/>
              </w:rPr>
              <w:instrText>i</w:instrText>
            </w:r>
            <w:r w:rsidR="005E7D08" w:rsidRPr="00704E49">
              <w:rPr>
                <w:rFonts w:ascii="Calibri" w:eastAsia="等线" w:hAnsi="Calibri" w:cs="Calibri"/>
                <w:sz w:val="18"/>
                <w:szCs w:val="18"/>
                <w:lang w:val="en-GB"/>
              </w:rPr>
              <w:instrText>č</w:instrText>
            </w:r>
            <w:r w:rsidR="005E7D08" w:rsidRPr="00704E49">
              <w:rPr>
                <w:rFonts w:ascii="Calibri" w:eastAsia="等线" w:hAnsi="Calibri" w:cs="Arial"/>
                <w:sz w:val="18"/>
                <w:szCs w:val="18"/>
                <w:lang w:val="en-GB"/>
              </w:rPr>
              <w:instrText>","given":"L","non-dropping-particle":"","parse-names":false,"suffix":""},{"dropping-particle":"","family":"Ili</w:instrText>
            </w:r>
            <w:r w:rsidR="005E7D08" w:rsidRPr="00704E49">
              <w:rPr>
                <w:rFonts w:ascii="Calibri" w:eastAsia="等线" w:hAnsi="Calibri" w:cs="Calibri"/>
                <w:sz w:val="18"/>
                <w:szCs w:val="18"/>
                <w:lang w:val="en-GB"/>
              </w:rPr>
              <w:instrText>ć</w:instrText>
            </w:r>
            <w:r w:rsidR="005E7D08" w:rsidRPr="00704E49">
              <w:rPr>
                <w:rFonts w:ascii="Calibri" w:eastAsia="等线" w:hAnsi="Calibri" w:cs="Arial"/>
                <w:sz w:val="18"/>
                <w:szCs w:val="18"/>
                <w:lang w:val="en-GB"/>
              </w:rPr>
              <w:instrText>","given":"R","non-dropping-particle":"","parse-names":false,"suffix":""},{"dropping-particle":"","family":"Samec","given":"N","non-dropping-particle":"","parse-names":false,"suffix":""}],"container-title":"Waste Management","id":"ITEM-1","issue":"12","issued":{"date-parts":[["2006"]]},"page":"1436-1442","title":"Utilization of municipal solid waste bottom ash and recycled aggregate in concrete","type":"article-journal","volume":"26"},"uris":["http://www.mendeley.com/documents/?uuid=749862ad-c07a-44d5-95f8-5c3b37755976"]}],"mendeley":{"formattedCitation":"(Jurič et al., 2006)","plainTextFormattedCitation":"(Jurič et al., 2006)","previouslyFormattedCitation":"(Jurič et al., 2006)"},"properties":{"noteIndex":0},"schema":"https://github.com/citation-style-language/schema/raw/master/csl-citation.json"}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(Jurič et al., 2006)</w:t>
            </w:r>
            <w:r w:rsidRPr="00704E49">
              <w:rPr>
                <w:rFonts w:ascii="Calibri" w:eastAsia="等线" w:hAnsi="Calibri" w:cs="Arial"/>
                <w:sz w:val="18"/>
                <w:szCs w:val="18"/>
                <w:lang w:val="en-GB"/>
              </w:rPr>
              <w:fldChar w:fldCharType="end"/>
            </w:r>
          </w:p>
        </w:tc>
        <w:tc>
          <w:tcPr>
            <w:tcW w:w="1986" w:type="dxa"/>
            <w:tcBorders>
              <w:top w:val="single" w:sz="4" w:space="0" w:color="auto"/>
              <w:bottom w:val="nil"/>
            </w:tcBorders>
            <w:vAlign w:val="center"/>
            <w:hideMark/>
          </w:tcPr>
          <w:p w14:paraId="7B5357B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40.6</w:t>
            </w:r>
          </w:p>
        </w:tc>
        <w:tc>
          <w:tcPr>
            <w:tcW w:w="1997" w:type="dxa"/>
            <w:tcBorders>
              <w:top w:val="single" w:sz="4" w:space="0" w:color="auto"/>
              <w:bottom w:val="nil"/>
            </w:tcBorders>
            <w:vAlign w:val="center"/>
            <w:hideMark/>
          </w:tcPr>
          <w:p w14:paraId="4758BB6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43.4</w:t>
            </w:r>
          </w:p>
        </w:tc>
        <w:tc>
          <w:tcPr>
            <w:tcW w:w="2001" w:type="dxa"/>
            <w:tcBorders>
              <w:top w:val="single" w:sz="4" w:space="0" w:color="auto"/>
              <w:bottom w:val="nil"/>
            </w:tcBorders>
            <w:vAlign w:val="center"/>
            <w:hideMark/>
          </w:tcPr>
          <w:p w14:paraId="321A59F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1.07</w:t>
            </w:r>
          </w:p>
        </w:tc>
        <w:tc>
          <w:tcPr>
            <w:tcW w:w="1997" w:type="dxa"/>
            <w:tcBorders>
              <w:top w:val="single" w:sz="4" w:space="0" w:color="auto"/>
              <w:bottom w:val="nil"/>
            </w:tcBorders>
            <w:vAlign w:val="center"/>
            <w:hideMark/>
          </w:tcPr>
          <w:p w14:paraId="37FA937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auto"/>
              <w:bottom w:val="nil"/>
            </w:tcBorders>
            <w:vAlign w:val="center"/>
            <w:hideMark/>
          </w:tcPr>
          <w:p w14:paraId="22F7957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auto"/>
              <w:bottom w:val="nil"/>
            </w:tcBorders>
            <w:vAlign w:val="center"/>
            <w:hideMark/>
          </w:tcPr>
          <w:p w14:paraId="0F2EE02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5D6CFAE"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43901E01"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ADBEC3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3201203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w:t>
            </w:r>
          </w:p>
        </w:tc>
        <w:tc>
          <w:tcPr>
            <w:tcW w:w="2001" w:type="dxa"/>
            <w:tcBorders>
              <w:top w:val="nil"/>
              <w:bottom w:val="nil"/>
            </w:tcBorders>
            <w:vAlign w:val="center"/>
            <w:hideMark/>
          </w:tcPr>
          <w:p w14:paraId="703DC6F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1.04</w:t>
            </w:r>
          </w:p>
        </w:tc>
        <w:tc>
          <w:tcPr>
            <w:tcW w:w="1997" w:type="dxa"/>
            <w:tcBorders>
              <w:top w:val="nil"/>
              <w:bottom w:val="nil"/>
            </w:tcBorders>
            <w:vAlign w:val="center"/>
            <w:hideMark/>
          </w:tcPr>
          <w:p w14:paraId="0D066AD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4A3D78A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34B2BA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46763C4"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7CEA2584"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3DAE3AF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6018822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52</w:t>
            </w:r>
          </w:p>
        </w:tc>
        <w:tc>
          <w:tcPr>
            <w:tcW w:w="2001" w:type="dxa"/>
            <w:tcBorders>
              <w:top w:val="nil"/>
              <w:bottom w:val="nil"/>
            </w:tcBorders>
            <w:vAlign w:val="center"/>
            <w:hideMark/>
          </w:tcPr>
          <w:p w14:paraId="2746C28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1.04</w:t>
            </w:r>
          </w:p>
        </w:tc>
        <w:tc>
          <w:tcPr>
            <w:tcW w:w="1997" w:type="dxa"/>
            <w:tcBorders>
              <w:top w:val="nil"/>
              <w:bottom w:val="nil"/>
            </w:tcBorders>
            <w:vAlign w:val="center"/>
            <w:hideMark/>
          </w:tcPr>
          <w:p w14:paraId="60A1882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FF0916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B075C2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215E699C"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2D6B2BFF"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0383AEA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6DD00E6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2001" w:type="dxa"/>
            <w:tcBorders>
              <w:top w:val="nil"/>
              <w:bottom w:val="nil"/>
            </w:tcBorders>
            <w:vAlign w:val="center"/>
            <w:hideMark/>
          </w:tcPr>
          <w:p w14:paraId="61C5D8D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1.00</w:t>
            </w:r>
          </w:p>
        </w:tc>
        <w:tc>
          <w:tcPr>
            <w:tcW w:w="1997" w:type="dxa"/>
            <w:tcBorders>
              <w:top w:val="nil"/>
              <w:bottom w:val="nil"/>
            </w:tcBorders>
            <w:vAlign w:val="center"/>
            <w:hideMark/>
          </w:tcPr>
          <w:p w14:paraId="7E1D86E6"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4DCD25F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5236F4E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7209173"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3E064CC7"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12BC5699"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5E52D910"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47</w:t>
            </w:r>
          </w:p>
        </w:tc>
        <w:tc>
          <w:tcPr>
            <w:tcW w:w="2001" w:type="dxa"/>
            <w:tcBorders>
              <w:top w:val="nil"/>
              <w:bottom w:val="nil"/>
            </w:tcBorders>
            <w:vAlign w:val="center"/>
            <w:hideMark/>
          </w:tcPr>
          <w:p w14:paraId="2B5E1E7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0.94</w:t>
            </w:r>
          </w:p>
        </w:tc>
        <w:tc>
          <w:tcPr>
            <w:tcW w:w="1997" w:type="dxa"/>
            <w:tcBorders>
              <w:top w:val="nil"/>
              <w:bottom w:val="nil"/>
            </w:tcBorders>
            <w:vAlign w:val="center"/>
            <w:hideMark/>
          </w:tcPr>
          <w:p w14:paraId="54C3AB66"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71933EAB"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38D8256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0DD5D65"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bottom w:val="nil"/>
            </w:tcBorders>
            <w:vAlign w:val="center"/>
            <w:hideMark/>
          </w:tcPr>
          <w:p w14:paraId="1778D43A"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11727AA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6FD9353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47</w:t>
            </w:r>
          </w:p>
        </w:tc>
        <w:tc>
          <w:tcPr>
            <w:tcW w:w="2001" w:type="dxa"/>
            <w:tcBorders>
              <w:top w:val="nil"/>
              <w:bottom w:val="nil"/>
            </w:tcBorders>
            <w:vAlign w:val="center"/>
            <w:hideMark/>
          </w:tcPr>
          <w:p w14:paraId="7ADC185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0.94</w:t>
            </w:r>
          </w:p>
        </w:tc>
        <w:tc>
          <w:tcPr>
            <w:tcW w:w="1997" w:type="dxa"/>
            <w:tcBorders>
              <w:top w:val="nil"/>
              <w:bottom w:val="nil"/>
            </w:tcBorders>
            <w:vAlign w:val="center"/>
            <w:hideMark/>
          </w:tcPr>
          <w:p w14:paraId="689E777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225A743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032A17B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2C07BBA"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tcBorders>
            <w:vAlign w:val="center"/>
            <w:hideMark/>
          </w:tcPr>
          <w:p w14:paraId="475493DB"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12B910D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tcBorders>
            <w:vAlign w:val="center"/>
            <w:hideMark/>
          </w:tcPr>
          <w:p w14:paraId="60C70D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2001" w:type="dxa"/>
            <w:tcBorders>
              <w:top w:val="nil"/>
            </w:tcBorders>
            <w:vAlign w:val="center"/>
            <w:hideMark/>
          </w:tcPr>
          <w:p w14:paraId="4F6FE07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0.80</w:t>
            </w:r>
          </w:p>
        </w:tc>
        <w:tc>
          <w:tcPr>
            <w:tcW w:w="1997" w:type="dxa"/>
            <w:tcBorders>
              <w:top w:val="nil"/>
            </w:tcBorders>
            <w:vAlign w:val="center"/>
            <w:hideMark/>
          </w:tcPr>
          <w:p w14:paraId="1202713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02BD67B4"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3740246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79CE8EEF"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1D575AED" w14:textId="3395F120"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{"citationItems":[{"id":"ITEM-1","itemData":{"DOI":"10.1016/j.cemconcomp.2006.03.003","ISSN":"09589465","abstract":"This study investigated the pozzolonic reactions and engineering properties of municipal solid waste incinerator (MSWI) bottom ash slag blended cements (SBC) with various replacement ratios. The 90-day compressive strengths developed by SBC pastes with 10% and 20% cement replacement by slags generated from the bottom ash were similar to that developed by ordinary Portland cement pastes. Thermal analyses indicated that the hydrates in the SBC pastes were mainly portlandite (Ca(OH)2) and calcium silicate hydrate (C-S-H) gels, similar to those found in ordinary Portland cement paste. It is also indicated that the slag reacted with Ca(OH)2 to form C-S-H. The average length (in terms of the number of Si molecules) of linear polysilicate anions in C-S-H gel, as determined by 29Si nuclear magnetic resonance, increased in all the SBC pastes with increasing curing age, which outperformed that of ordinary Portland cement at 90 days. It can thus be concluded from the study results, that municipal solid waste incinerator bottom ash can be processed by melting to obtain reactive pozzolanic slag, which may be used in SBC to partially replace the cement. © 2006 Elsevier Ltd. All rights reserved.","author":[{"dropping-particle":"","family":"Lin","given":"K L","non-dropping-particle":"","parse-names":false,"suffix":""},{"dropping-particle":"","family":"Lin","given":"D F","non-dropping-particle":"","parse-names":false,"suffix":""}],"container-title":"Cement and Concrete Composites","id":"ITEM-1","issue":"9","issued":{"date-parts":[["2006"]]},"page":"817-823","title":"Hydration characteristics of municipal solid waste incinerator bottom ash slag as a pozzolanic material for use in cement","type":"article-journal","volume":"28"},"uris":["http://www.mendeley.com/documents/?uuid=a2aeb778-8350-4c2c-83de-556baba042f7"]}],"mendeley":{"formattedCitation":"(Lin &amp; Lin, 2006)","plainTextFormattedCitation":"(Lin &amp; Lin, 2006)","previouslyFormattedCitation":"(Lin &amp; Lin, 2006)"},"properties":{"noteIndex":0},"schema":"https://github.com/citation-style-language/schema/raw/master/csl-citation.json"}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(Lin &amp; Lin, 2006)</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3B47ED18"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bottom w:val="nil"/>
            </w:tcBorders>
            <w:vAlign w:val="center"/>
            <w:hideMark/>
          </w:tcPr>
          <w:p w14:paraId="515F97F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47.5</w:t>
            </w:r>
          </w:p>
        </w:tc>
        <w:tc>
          <w:tcPr>
            <w:tcW w:w="2001" w:type="dxa"/>
            <w:tcBorders>
              <w:bottom w:val="nil"/>
            </w:tcBorders>
            <w:vAlign w:val="center"/>
            <w:hideMark/>
          </w:tcPr>
          <w:p w14:paraId="5B56E92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0.95</w:t>
            </w:r>
          </w:p>
        </w:tc>
        <w:tc>
          <w:tcPr>
            <w:tcW w:w="1997" w:type="dxa"/>
            <w:tcBorders>
              <w:bottom w:val="nil"/>
            </w:tcBorders>
            <w:vAlign w:val="center"/>
            <w:hideMark/>
          </w:tcPr>
          <w:p w14:paraId="303B5D0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59</w:t>
            </w:r>
          </w:p>
        </w:tc>
        <w:tc>
          <w:tcPr>
            <w:tcW w:w="1997" w:type="dxa"/>
            <w:tcBorders>
              <w:bottom w:val="nil"/>
            </w:tcBorders>
            <w:vAlign w:val="center"/>
            <w:hideMark/>
          </w:tcPr>
          <w:p w14:paraId="706BAF0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58.5</w:t>
            </w:r>
          </w:p>
        </w:tc>
        <w:tc>
          <w:tcPr>
            <w:tcW w:w="2001" w:type="dxa"/>
            <w:tcBorders>
              <w:bottom w:val="nil"/>
            </w:tcBorders>
            <w:vAlign w:val="center"/>
            <w:hideMark/>
          </w:tcPr>
          <w:p w14:paraId="6E276EB2"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0.99</w:t>
            </w:r>
          </w:p>
        </w:tc>
      </w:tr>
      <w:tr w:rsidR="00D76C75" w:rsidRPr="00704E49" w14:paraId="593628E5"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044E52CD"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nil"/>
            </w:tcBorders>
            <w:vAlign w:val="center"/>
            <w:hideMark/>
          </w:tcPr>
          <w:p w14:paraId="4BCB2C3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nil"/>
            </w:tcBorders>
            <w:vAlign w:val="center"/>
            <w:hideMark/>
          </w:tcPr>
          <w:p w14:paraId="4C6BCDC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47.5</w:t>
            </w:r>
          </w:p>
        </w:tc>
        <w:tc>
          <w:tcPr>
            <w:tcW w:w="2001" w:type="dxa"/>
            <w:tcBorders>
              <w:top w:val="nil"/>
              <w:bottom w:val="nil"/>
            </w:tcBorders>
            <w:vAlign w:val="center"/>
            <w:hideMark/>
          </w:tcPr>
          <w:p w14:paraId="5EC189E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0.95</w:t>
            </w:r>
          </w:p>
        </w:tc>
        <w:tc>
          <w:tcPr>
            <w:tcW w:w="1997" w:type="dxa"/>
            <w:tcBorders>
              <w:top w:val="nil"/>
              <w:bottom w:val="nil"/>
            </w:tcBorders>
            <w:vAlign w:val="center"/>
            <w:hideMark/>
          </w:tcPr>
          <w:p w14:paraId="41D366F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59</w:t>
            </w:r>
          </w:p>
        </w:tc>
        <w:tc>
          <w:tcPr>
            <w:tcW w:w="1997" w:type="dxa"/>
            <w:tcBorders>
              <w:top w:val="nil"/>
              <w:bottom w:val="nil"/>
            </w:tcBorders>
            <w:vAlign w:val="center"/>
            <w:hideMark/>
          </w:tcPr>
          <w:p w14:paraId="6622C11D"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58</w:t>
            </w:r>
          </w:p>
        </w:tc>
        <w:tc>
          <w:tcPr>
            <w:tcW w:w="2001" w:type="dxa"/>
            <w:tcBorders>
              <w:top w:val="nil"/>
              <w:bottom w:val="nil"/>
            </w:tcBorders>
            <w:vAlign w:val="center"/>
            <w:hideMark/>
          </w:tcPr>
          <w:p w14:paraId="5E57612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0.98</w:t>
            </w:r>
          </w:p>
        </w:tc>
      </w:tr>
      <w:tr w:rsidR="00D76C75" w:rsidRPr="00704E49" w14:paraId="197D7A3B" w14:textId="77777777" w:rsidTr="00AC0648">
        <w:trPr>
          <w:trHeight w:val="375"/>
          <w:jc w:val="center"/>
        </w:trPr>
        <w:tc>
          <w:tcPr>
            <w:cnfStyle w:val="001000000000" w:firstRow="0" w:lastRow="0" w:firstColumn="1" w:lastColumn="0" w:oddVBand="0" w:evenVBand="0" w:oddHBand="0" w:evenHBand="0" w:firstRowFirstColumn="0" w:firstRowLastColumn="0" w:lastRowFirstColumn="0" w:lastRowLastColumn="0"/>
            <w:tcW w:w="1991" w:type="dxa"/>
            <w:vMerge/>
            <w:tcBorders>
              <w:bottom w:val="single" w:sz="4" w:space="0" w:color="auto"/>
            </w:tcBorders>
            <w:vAlign w:val="center"/>
            <w:hideMark/>
          </w:tcPr>
          <w:p w14:paraId="0DCBC757"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bottom w:val="single" w:sz="4" w:space="0" w:color="auto"/>
            </w:tcBorders>
            <w:vAlign w:val="center"/>
            <w:hideMark/>
          </w:tcPr>
          <w:p w14:paraId="5DAB088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50</w:t>
            </w:r>
          </w:p>
        </w:tc>
        <w:tc>
          <w:tcPr>
            <w:tcW w:w="1997" w:type="dxa"/>
            <w:tcBorders>
              <w:top w:val="nil"/>
              <w:bottom w:val="single" w:sz="4" w:space="0" w:color="auto"/>
            </w:tcBorders>
            <w:vAlign w:val="center"/>
            <w:hideMark/>
          </w:tcPr>
          <w:p w14:paraId="05731E8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40</w:t>
            </w:r>
          </w:p>
        </w:tc>
        <w:tc>
          <w:tcPr>
            <w:tcW w:w="2001" w:type="dxa"/>
            <w:tcBorders>
              <w:top w:val="nil"/>
              <w:bottom w:val="single" w:sz="4" w:space="0" w:color="auto"/>
            </w:tcBorders>
            <w:vAlign w:val="center"/>
            <w:hideMark/>
          </w:tcPr>
          <w:p w14:paraId="2C66E1B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0.80</w:t>
            </w:r>
          </w:p>
        </w:tc>
        <w:tc>
          <w:tcPr>
            <w:tcW w:w="1997" w:type="dxa"/>
            <w:tcBorders>
              <w:top w:val="nil"/>
              <w:bottom w:val="single" w:sz="4" w:space="0" w:color="auto"/>
            </w:tcBorders>
            <w:vAlign w:val="center"/>
            <w:hideMark/>
          </w:tcPr>
          <w:p w14:paraId="01EDAD3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59</w:t>
            </w:r>
          </w:p>
        </w:tc>
        <w:tc>
          <w:tcPr>
            <w:tcW w:w="1997" w:type="dxa"/>
            <w:tcBorders>
              <w:top w:val="nil"/>
              <w:bottom w:val="single" w:sz="4" w:space="0" w:color="auto"/>
            </w:tcBorders>
            <w:vAlign w:val="center"/>
            <w:hideMark/>
          </w:tcPr>
          <w:p w14:paraId="161B670F"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53</w:t>
            </w:r>
          </w:p>
        </w:tc>
        <w:tc>
          <w:tcPr>
            <w:tcW w:w="2001" w:type="dxa"/>
            <w:tcBorders>
              <w:top w:val="nil"/>
              <w:bottom w:val="single" w:sz="4" w:space="0" w:color="auto"/>
            </w:tcBorders>
            <w:vAlign w:val="center"/>
            <w:hideMark/>
          </w:tcPr>
          <w:p w14:paraId="344D6DE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0.90</w:t>
            </w:r>
          </w:p>
        </w:tc>
      </w:tr>
      <w:tr w:rsidR="00D76C75" w:rsidRPr="00704E49" w14:paraId="74E19EAB"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tcBorders>
              <w:top w:val="single" w:sz="4" w:space="0" w:color="auto"/>
              <w:bottom w:val="nil"/>
            </w:tcBorders>
            <w:vAlign w:val="center"/>
            <w:hideMark/>
          </w:tcPr>
          <w:p w14:paraId="7DC6D7F6" w14:textId="72555F1C"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{"citationItems":[{"id":"ITEM-1","itemData":{"DOI":"10.1016/j.jclepro.2017.01.147","ISSN":"09596526","abstract":"In order to reduce municipal solid waste incinerator (MSWI) ash, the effect of replacement level of high calcium fly ash by MSWI bottom ash on fly ash based geopolymer properties were studied. The results were compared to cement matrix containing MSWI bottom ash. It showed that the 20% MSWI bottom ash replacement level produced the highest compressive strength at 7 d of 52.8 MPa. The MSWI bottom ash could replace fly ash at high dosage level of 40% and the compressive strength was still higher than that of the control geopolymer mortar. The porosity, pore size distribution, and SEM indicated that the use of MSWI bottom ash could increase the denseness and homogeneity of geopolymer and cement matrix. In addition, the increase of MSWI bottom ash level significantly increased the crystalline phases of calcite and quartz as shown in the XRD pattern and C-O stretching in the FTIR images of both matrices.","author":[{"dropping-particle":"","family":"Wongsa","given":"Ampol","non-dropping-particle":"","parse-names":false,"suffix":""},{"dropping-particle":"","family":"Boonserm","given":"Kornkanok","non-dropping-particle":"","parse-names":false,"suffix":""},{"dropping-particle":"","family":"Waisurasingha","given":"Chattichai","non-dropping-particle":"","parse-names":false,"suffix":""},{"dropping-particle":"","family":"Sata","given":"Vanchai","non-dropping-particle":"","parse-names":false,"suffix":""},{"dropping-particle":"","family":"Chindaprasirt","given":"Prinya","non-dropping-particle":"","parse-names":false,"suffix":""}],"container-title":"Journal of Cleaner Production","id":"ITEM-1","issued":{"date-parts":[["2017"]]},"page":"49-59","publisher":"Elsevier Ltd","title":"Use of municipal solid waste incinerator (MSWI) bottom ash in high calcium fly ash geopolymer matrix","type":"article-journal","volume":"148"},"uris":["http://www.mendeley.com/documents/?uuid=49bdb9a7-505a-4671-91ab-11af531fe732"]}],"mendeley":{"formattedCitation":"(Wongsa et al., 2017)","plainTextFormattedCitation":"(Wongsa et al., 2017)","previouslyFormattedCitation":"(Wongsa et al., 2017)"},"properties":{"noteIndex":0},"schema":"https://github.com/citation-style-language/schema/raw/master/csl-citation.json"}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(Wongsa et al., 2017)</w:t>
            </w:r>
            <w:r w:rsidRPr="00704E49">
              <w:rPr>
                <w:rFonts w:ascii="Calibri" w:eastAsia="等线" w:hAnsi="Calibri" w:cs="Arial"/>
                <w:sz w:val="18"/>
                <w:szCs w:val="18"/>
                <w:lang w:val="en-GB"/>
              </w:rPr>
              <w:fldChar w:fldCharType="end"/>
            </w:r>
          </w:p>
        </w:tc>
        <w:tc>
          <w:tcPr>
            <w:tcW w:w="1986" w:type="dxa"/>
            <w:tcBorders>
              <w:top w:val="single" w:sz="4" w:space="0" w:color="auto"/>
              <w:bottom w:val="nil"/>
            </w:tcBorders>
            <w:vAlign w:val="center"/>
            <w:hideMark/>
          </w:tcPr>
          <w:p w14:paraId="5057F0DA"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46.9</w:t>
            </w:r>
          </w:p>
        </w:tc>
        <w:tc>
          <w:tcPr>
            <w:tcW w:w="1997" w:type="dxa"/>
            <w:tcBorders>
              <w:top w:val="single" w:sz="4" w:space="0" w:color="auto"/>
              <w:bottom w:val="nil"/>
            </w:tcBorders>
            <w:vAlign w:val="center"/>
            <w:hideMark/>
          </w:tcPr>
          <w:p w14:paraId="58BFB80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47.7</w:t>
            </w:r>
          </w:p>
        </w:tc>
        <w:tc>
          <w:tcPr>
            <w:tcW w:w="2001" w:type="dxa"/>
            <w:tcBorders>
              <w:top w:val="single" w:sz="4" w:space="0" w:color="auto"/>
              <w:bottom w:val="nil"/>
            </w:tcBorders>
            <w:vAlign w:val="center"/>
            <w:hideMark/>
          </w:tcPr>
          <w:p w14:paraId="4E03E6C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1.02</w:t>
            </w:r>
          </w:p>
        </w:tc>
        <w:tc>
          <w:tcPr>
            <w:tcW w:w="1997" w:type="dxa"/>
            <w:tcBorders>
              <w:top w:val="single" w:sz="4" w:space="0" w:color="auto"/>
              <w:bottom w:val="nil"/>
            </w:tcBorders>
            <w:vAlign w:val="center"/>
            <w:hideMark/>
          </w:tcPr>
          <w:p w14:paraId="06B8E19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single" w:sz="4" w:space="0" w:color="auto"/>
              <w:bottom w:val="nil"/>
            </w:tcBorders>
            <w:vAlign w:val="center"/>
            <w:hideMark/>
          </w:tcPr>
          <w:p w14:paraId="7DB254E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single" w:sz="4" w:space="0" w:color="auto"/>
              <w:bottom w:val="nil"/>
            </w:tcBorders>
            <w:vAlign w:val="center"/>
            <w:hideMark/>
          </w:tcPr>
          <w:p w14:paraId="3D6F60CE"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6314115C"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tcBorders>
              <w:top w:val="nil"/>
            </w:tcBorders>
            <w:vAlign w:val="center"/>
            <w:hideMark/>
          </w:tcPr>
          <w:p w14:paraId="0E90EC2D" w14:textId="77777777" w:rsidR="00D76C75" w:rsidRPr="00704E49" w:rsidRDefault="00D76C75" w:rsidP="00D76C75">
            <w:pPr>
              <w:widowControl/>
              <w:jc w:val="left"/>
              <w:rPr>
                <w:rFonts w:ascii="Aptos" w:eastAsia="等线" w:hAnsi="Aptos" w:cs="Arial"/>
                <w:sz w:val="18"/>
                <w:szCs w:val="18"/>
                <w:lang w:val="en-GB"/>
                <w14:ligatures w14:val="standardContextual"/>
              </w:rPr>
            </w:pPr>
          </w:p>
        </w:tc>
        <w:tc>
          <w:tcPr>
            <w:tcW w:w="1986" w:type="dxa"/>
            <w:tcBorders>
              <w:top w:val="nil"/>
            </w:tcBorders>
            <w:vAlign w:val="center"/>
            <w:hideMark/>
          </w:tcPr>
          <w:p w14:paraId="68C13D1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46.9</w:t>
            </w:r>
          </w:p>
        </w:tc>
        <w:tc>
          <w:tcPr>
            <w:tcW w:w="1997" w:type="dxa"/>
            <w:tcBorders>
              <w:top w:val="nil"/>
            </w:tcBorders>
            <w:vAlign w:val="center"/>
            <w:hideMark/>
          </w:tcPr>
          <w:p w14:paraId="58522EF1"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35.7</w:t>
            </w:r>
          </w:p>
        </w:tc>
        <w:tc>
          <w:tcPr>
            <w:tcW w:w="2001" w:type="dxa"/>
            <w:tcBorders>
              <w:top w:val="nil"/>
            </w:tcBorders>
            <w:vAlign w:val="center"/>
            <w:hideMark/>
          </w:tcPr>
          <w:p w14:paraId="63DFB03C"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0.76</w:t>
            </w:r>
          </w:p>
        </w:tc>
        <w:tc>
          <w:tcPr>
            <w:tcW w:w="1997" w:type="dxa"/>
            <w:tcBorders>
              <w:top w:val="nil"/>
            </w:tcBorders>
            <w:vAlign w:val="center"/>
            <w:hideMark/>
          </w:tcPr>
          <w:p w14:paraId="1778E217"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13863C3D"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1FC1A643"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0EB4B200"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hideMark/>
          </w:tcPr>
          <w:p w14:paraId="13EAD908" w14:textId="59DD1E1C" w:rsidR="00D76C75" w:rsidRPr="00704E49" w:rsidRDefault="00D76C75" w:rsidP="00D76C75">
            <w:pPr>
              <w:widowControl/>
              <w:jc w:val="left"/>
              <w:rPr>
                <w:rFonts w:ascii="Aptos" w:eastAsia="等线" w:hAnsi="Aptos" w:cs="Arial"/>
                <w:sz w:val="18"/>
                <w:szCs w:val="18"/>
                <w:lang w:val="en-GB"/>
                <w14:ligatures w14:val="standardContextual"/>
              </w:rPr>
            </w:pPr>
            <w:r w:rsidRPr="00704E49">
              <w:rPr>
                <w:rFonts w:ascii="Calibri" w:eastAsia="等线" w:hAnsi="Calibri" w:cs="Arial"/>
                <w:sz w:val="18"/>
                <w:szCs w:val="18"/>
                <w:lang w:val="en-GB"/>
              </w:rPr>
              <w:fldChar w:fldCharType="begin" w:fldLock="1"/>
            </w:r>
            <w:r w:rsidR="005E7D08" w:rsidRPr="00704E49">
              <w:rPr>
                <w:rFonts w:ascii="Calibri" w:eastAsia="等线" w:hAnsi="Calibri" w:cs="Arial"/>
                <w:sz w:val="18"/>
                <w:szCs w:val="18"/>
                <w:lang w:val="en-GB"/>
              </w:rPr>
              <w:instrText>ADDIN CSL_CITATION {"citationItems":[{"id":"ITEM-1","itemData":{"DOI":"10.1080/14680629.2015.1083463","ISSN":"21647402","abstract":"The main focus of this study is the characterisation of the municipal solid waste incineration (MSWI) ashes and their influence on engineering properties of cement paste when part of Portland cement is replaced with ground MSWI ashes. Petrographic examinations were performed in order to identify chemical composition of ashes and to determine their contents. To evaluate the main side effect of ashes when used in cement, the creation of network of bubbles due to the presence of aluminium, ashes, and aluminium powder were submerged in high pH solution and the evolution of hydrogen gas was measured. Cement paste cylinders were cast with various amounts of mineral additions and their strength and durability were investigated. Analysis on the measured data demonstrated that the use of ashes as cement replacement has both beneficial and detrimental effects on the strength and durability caused by the filler effect and hydrogen gas development, respectively.","author":[{"dropping-particle":"","family":"Kim","given":"Jinyoung","non-dropping-particle":"","parse-names":false,"suffix":""},{"dropping-particle":"","family":"An","given":"Jinwoo","non-dropping-particle":"","parse-names":false,"suffix":""},{"dropping-particle":"","family":"Nam","given":"Boo Hyun","non-dropping-particle":"","parse-names":false,"suffix":""},{"dropping-particle":"","family":"Tasneem","given":"Kazi Mahmuda","non-dropping-particle":"","parse-names":false,"suffix":""}],"container-title":"Road Materials and Pavement Design","id":"ITEM-1","issue":"2","issued":{"date-parts":[["2016"]]},"page":"345-364","publisher":"Taylor and Francis Ltd.","title":"Investigation on the side effects of municipal solid waste incineration ashes when used as mineral addition in cement-based material","type":"article-journal","volume":"17"},"uris":["http://www.mendeley.com/documents/?uuid=30685470-5a28-4533-8ff3-5b4080ea8f85"]}],"mendeley":{"formattedCitation":"(Kim et al., 2016)","plainTextFormattedCitation":"(Kim et al., 2016)","previouslyFormattedCitation":"(Kim et al., 2016)"},"properties":{"noteIndex":0},"schema":"https://github.com/citation-style-language/schema/raw/master/csl-citation.json"}</w:instrText>
            </w:r>
            <w:r w:rsidRPr="00704E49">
              <w:rPr>
                <w:rFonts w:ascii="Calibri" w:eastAsia="等线" w:hAnsi="Calibri" w:cs="Arial"/>
                <w:sz w:val="18"/>
                <w:szCs w:val="18"/>
                <w:lang w:val="en-GB"/>
              </w:rPr>
              <w:fldChar w:fldCharType="separate"/>
            </w:r>
            <w:r w:rsidR="0015688F" w:rsidRPr="00704E49">
              <w:rPr>
                <w:rFonts w:ascii="Calibri" w:eastAsia="等线" w:hAnsi="Calibri" w:cs="Arial"/>
                <w:b w:val="0"/>
                <w:noProof/>
                <w:sz w:val="18"/>
                <w:szCs w:val="18"/>
                <w:lang w:val="en-GB"/>
              </w:rPr>
              <w:t>(Kim et al., 2016)</w:t>
            </w:r>
            <w:r w:rsidRPr="00704E49">
              <w:rPr>
                <w:rFonts w:ascii="Calibri" w:eastAsia="等线" w:hAnsi="Calibri" w:cs="Arial"/>
                <w:sz w:val="18"/>
                <w:szCs w:val="18"/>
                <w:lang w:val="en-GB"/>
              </w:rPr>
              <w:fldChar w:fldCharType="end"/>
            </w:r>
          </w:p>
        </w:tc>
        <w:tc>
          <w:tcPr>
            <w:tcW w:w="1986" w:type="dxa"/>
            <w:tcBorders>
              <w:bottom w:val="nil"/>
            </w:tcBorders>
            <w:vAlign w:val="center"/>
            <w:hideMark/>
          </w:tcPr>
          <w:p w14:paraId="3394BCE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28.3</w:t>
            </w:r>
          </w:p>
        </w:tc>
        <w:tc>
          <w:tcPr>
            <w:tcW w:w="1997" w:type="dxa"/>
            <w:tcBorders>
              <w:bottom w:val="nil"/>
            </w:tcBorders>
            <w:vAlign w:val="center"/>
            <w:hideMark/>
          </w:tcPr>
          <w:p w14:paraId="6C1EEDA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26.8</w:t>
            </w:r>
          </w:p>
        </w:tc>
        <w:tc>
          <w:tcPr>
            <w:tcW w:w="2001" w:type="dxa"/>
            <w:tcBorders>
              <w:bottom w:val="nil"/>
            </w:tcBorders>
            <w:vAlign w:val="center"/>
            <w:hideMark/>
          </w:tcPr>
          <w:p w14:paraId="79914CA1"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0.95</w:t>
            </w:r>
          </w:p>
        </w:tc>
        <w:tc>
          <w:tcPr>
            <w:tcW w:w="1997" w:type="dxa"/>
            <w:tcBorders>
              <w:bottom w:val="nil"/>
            </w:tcBorders>
            <w:vAlign w:val="center"/>
            <w:hideMark/>
          </w:tcPr>
          <w:p w14:paraId="5635B8A5"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bottom w:val="nil"/>
            </w:tcBorders>
            <w:vAlign w:val="center"/>
            <w:hideMark/>
          </w:tcPr>
          <w:p w14:paraId="65F96B07"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bottom w:val="nil"/>
            </w:tcBorders>
            <w:vAlign w:val="center"/>
            <w:hideMark/>
          </w:tcPr>
          <w:p w14:paraId="2C8BEA9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5FFDDDCE" w14:textId="77777777" w:rsidTr="00AC0648">
        <w:trPr>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451D747B" w14:textId="77777777" w:rsidR="00D76C75" w:rsidRPr="00704E49" w:rsidRDefault="00D76C75" w:rsidP="00D76C75">
            <w:pPr>
              <w:widowControl/>
              <w:jc w:val="left"/>
              <w:rPr>
                <w:rFonts w:ascii="Aptos" w:eastAsia="等线" w:hAnsi="Aptos" w:cs="Arial"/>
                <w:lang w:val="en-GB"/>
                <w14:ligatures w14:val="standardContextual"/>
              </w:rPr>
            </w:pPr>
          </w:p>
        </w:tc>
        <w:tc>
          <w:tcPr>
            <w:tcW w:w="1986" w:type="dxa"/>
            <w:tcBorders>
              <w:top w:val="nil"/>
              <w:bottom w:val="nil"/>
            </w:tcBorders>
            <w:vAlign w:val="center"/>
            <w:hideMark/>
          </w:tcPr>
          <w:p w14:paraId="160A5B4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28.3</w:t>
            </w:r>
          </w:p>
        </w:tc>
        <w:tc>
          <w:tcPr>
            <w:tcW w:w="1997" w:type="dxa"/>
            <w:tcBorders>
              <w:top w:val="nil"/>
              <w:bottom w:val="nil"/>
            </w:tcBorders>
            <w:vAlign w:val="center"/>
            <w:hideMark/>
          </w:tcPr>
          <w:p w14:paraId="265D0019"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15.4</w:t>
            </w:r>
          </w:p>
        </w:tc>
        <w:tc>
          <w:tcPr>
            <w:tcW w:w="2001" w:type="dxa"/>
            <w:tcBorders>
              <w:top w:val="nil"/>
              <w:bottom w:val="nil"/>
            </w:tcBorders>
            <w:vAlign w:val="center"/>
            <w:hideMark/>
          </w:tcPr>
          <w:p w14:paraId="58D98D3B"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0.54</w:t>
            </w:r>
          </w:p>
        </w:tc>
        <w:tc>
          <w:tcPr>
            <w:tcW w:w="1997" w:type="dxa"/>
            <w:tcBorders>
              <w:top w:val="nil"/>
              <w:bottom w:val="nil"/>
            </w:tcBorders>
            <w:vAlign w:val="center"/>
            <w:hideMark/>
          </w:tcPr>
          <w:p w14:paraId="2D0BFB95"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bottom w:val="nil"/>
            </w:tcBorders>
            <w:vAlign w:val="center"/>
            <w:hideMark/>
          </w:tcPr>
          <w:p w14:paraId="3FBF533A"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bottom w:val="nil"/>
            </w:tcBorders>
            <w:vAlign w:val="center"/>
            <w:hideMark/>
          </w:tcPr>
          <w:p w14:paraId="29E8B894" w14:textId="77777777" w:rsidR="00D76C75" w:rsidRPr="00704E49" w:rsidRDefault="00D76C75" w:rsidP="00D76C75">
            <w:pPr>
              <w:widowControl/>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r w:rsidR="00D76C75" w:rsidRPr="00704E49" w14:paraId="3A8CA1C2" w14:textId="77777777" w:rsidTr="00AC06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vMerge/>
            <w:vAlign w:val="center"/>
            <w:hideMark/>
          </w:tcPr>
          <w:p w14:paraId="29331216" w14:textId="77777777" w:rsidR="00D76C75" w:rsidRPr="00704E49" w:rsidRDefault="00D76C75" w:rsidP="00D76C75">
            <w:pPr>
              <w:widowControl/>
              <w:jc w:val="left"/>
              <w:rPr>
                <w:rFonts w:ascii="Aptos" w:eastAsia="等线" w:hAnsi="Aptos" w:cs="Arial"/>
                <w:lang w:val="en-GB"/>
                <w14:ligatures w14:val="standardContextual"/>
              </w:rPr>
            </w:pPr>
          </w:p>
        </w:tc>
        <w:tc>
          <w:tcPr>
            <w:tcW w:w="1986" w:type="dxa"/>
            <w:tcBorders>
              <w:top w:val="nil"/>
            </w:tcBorders>
            <w:vAlign w:val="center"/>
            <w:hideMark/>
          </w:tcPr>
          <w:p w14:paraId="27499F3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28.3</w:t>
            </w:r>
          </w:p>
        </w:tc>
        <w:tc>
          <w:tcPr>
            <w:tcW w:w="1997" w:type="dxa"/>
            <w:tcBorders>
              <w:top w:val="nil"/>
            </w:tcBorders>
            <w:vAlign w:val="center"/>
            <w:hideMark/>
          </w:tcPr>
          <w:p w14:paraId="4E6D2CC3"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15.1</w:t>
            </w:r>
          </w:p>
        </w:tc>
        <w:tc>
          <w:tcPr>
            <w:tcW w:w="2001" w:type="dxa"/>
            <w:tcBorders>
              <w:top w:val="nil"/>
            </w:tcBorders>
            <w:vAlign w:val="center"/>
            <w:hideMark/>
          </w:tcPr>
          <w:p w14:paraId="4D5B0862"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0.53</w:t>
            </w:r>
          </w:p>
        </w:tc>
        <w:tc>
          <w:tcPr>
            <w:tcW w:w="1997" w:type="dxa"/>
            <w:tcBorders>
              <w:top w:val="nil"/>
            </w:tcBorders>
            <w:vAlign w:val="center"/>
            <w:hideMark/>
          </w:tcPr>
          <w:p w14:paraId="385D85BF"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1997" w:type="dxa"/>
            <w:tcBorders>
              <w:top w:val="nil"/>
            </w:tcBorders>
            <w:vAlign w:val="center"/>
            <w:hideMark/>
          </w:tcPr>
          <w:p w14:paraId="76E0CAAC"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c>
          <w:tcPr>
            <w:tcW w:w="2001" w:type="dxa"/>
            <w:tcBorders>
              <w:top w:val="nil"/>
            </w:tcBorders>
            <w:vAlign w:val="center"/>
            <w:hideMark/>
          </w:tcPr>
          <w:p w14:paraId="28CC23F8" w14:textId="77777777" w:rsidR="00D76C75" w:rsidRPr="00704E49" w:rsidRDefault="00D76C75" w:rsidP="00D76C75">
            <w:pPr>
              <w:widowControl/>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14:ligatures w14:val="standardContextual"/>
              </w:rPr>
            </w:pPr>
            <w:r w:rsidRPr="00704E49">
              <w:rPr>
                <w:rFonts w:ascii="Calibri" w:eastAsia="等线" w:hAnsi="Calibri" w:cs="Calibri"/>
                <w:sz w:val="18"/>
                <w:szCs w:val="18"/>
                <w:lang w:val="en-GB"/>
                <w14:ligatures w14:val="standardContextual"/>
              </w:rPr>
              <w:t>-</w:t>
            </w:r>
          </w:p>
        </w:tc>
      </w:tr>
    </w:tbl>
    <w:p w14:paraId="40265FF3" w14:textId="77777777" w:rsidR="00D76C75" w:rsidRPr="00704E49" w:rsidRDefault="00D76C75" w:rsidP="00D76C75">
      <w:pPr>
        <w:widowControl/>
        <w:spacing w:after="160" w:line="259" w:lineRule="auto"/>
        <w:jc w:val="left"/>
        <w:rPr>
          <w:rFonts w:ascii="Calibri" w:eastAsia="等线" w:hAnsi="Calibri" w:cs="Arial"/>
          <w:kern w:val="0"/>
          <w:sz w:val="22"/>
        </w:rPr>
      </w:pPr>
      <w:r w:rsidRPr="00704E49">
        <w:rPr>
          <w:rFonts w:ascii="Calibri" w:eastAsia="等线" w:hAnsi="Calibri" w:cs="Arial" w:hint="eastAsia"/>
          <w:kern w:val="0"/>
          <w:sz w:val="22"/>
        </w:rPr>
        <w:lastRenderedPageBreak/>
        <w:t>*</w:t>
      </w:r>
      <w:r w:rsidRPr="00704E49">
        <w:rPr>
          <w:rFonts w:ascii="Calibri" w:eastAsia="等线" w:hAnsi="Calibri" w:cs="Arial"/>
          <w:kern w:val="0"/>
          <w:sz w:val="22"/>
        </w:rPr>
        <w:t>AISI: Ash Impact Strength Index</w:t>
      </w:r>
      <w:r w:rsidRPr="00704E49">
        <w:rPr>
          <w:rFonts w:ascii="Calibri" w:eastAsia="等线" w:hAnsi="Calibri" w:cs="Arial" w:hint="eastAsia"/>
          <w:kern w:val="0"/>
          <w:sz w:val="22"/>
        </w:rPr>
        <w:t xml:space="preserve">. </w:t>
      </w:r>
      <w:r w:rsidRPr="00704E49">
        <w:rPr>
          <w:rFonts w:ascii="Calibri" w:eastAsia="等线" w:hAnsi="Calibri" w:cs="Arial"/>
          <w:kern w:val="0"/>
          <w:sz w:val="22"/>
        </w:rPr>
        <w:t>This index quantifies the effect of</w:t>
      </w:r>
      <w:r w:rsidRPr="00704E49">
        <w:rPr>
          <w:rFonts w:ascii="Calibri" w:eastAsia="等线" w:hAnsi="Calibri" w:cs="Arial" w:hint="eastAsia"/>
          <w:kern w:val="0"/>
          <w:sz w:val="22"/>
        </w:rPr>
        <w:t xml:space="preserve"> using MSWI </w:t>
      </w:r>
      <w:r w:rsidRPr="00704E49">
        <w:rPr>
          <w:rFonts w:ascii="Calibri" w:eastAsia="等线" w:hAnsi="Calibri" w:cs="Arial"/>
          <w:kern w:val="0"/>
          <w:sz w:val="22"/>
        </w:rPr>
        <w:t xml:space="preserve">bottom ash </w:t>
      </w:r>
      <w:r w:rsidRPr="00704E49">
        <w:rPr>
          <w:rFonts w:ascii="Calibri" w:eastAsia="等线" w:hAnsi="Calibri" w:cs="Arial" w:hint="eastAsia"/>
          <w:kern w:val="0"/>
          <w:sz w:val="22"/>
        </w:rPr>
        <w:t xml:space="preserve">as SCM </w:t>
      </w:r>
      <w:r w:rsidRPr="00704E49">
        <w:rPr>
          <w:rFonts w:ascii="Calibri" w:eastAsia="等线" w:hAnsi="Calibri" w:cs="Arial"/>
          <w:kern w:val="0"/>
          <w:sz w:val="22"/>
        </w:rPr>
        <w:t xml:space="preserve">on the compressive strength of </w:t>
      </w:r>
      <w:r w:rsidRPr="00704E49">
        <w:rPr>
          <w:rFonts w:ascii="Calibri" w:eastAsia="等线" w:hAnsi="Calibri" w:cs="Arial" w:hint="eastAsia"/>
          <w:kern w:val="0"/>
          <w:sz w:val="22"/>
        </w:rPr>
        <w:t>cement</w:t>
      </w:r>
      <w:r w:rsidRPr="00704E49">
        <w:rPr>
          <w:rFonts w:ascii="Calibri" w:eastAsia="等线" w:hAnsi="Calibri" w:cs="Arial"/>
          <w:kern w:val="0"/>
          <w:sz w:val="22"/>
        </w:rPr>
        <w:t xml:space="preserve"> </w:t>
      </w:r>
      <w:r w:rsidRPr="00704E49">
        <w:rPr>
          <w:rFonts w:ascii="Calibri" w:eastAsia="等线" w:hAnsi="Calibri" w:cs="Arial" w:hint="eastAsia"/>
          <w:kern w:val="0"/>
          <w:sz w:val="22"/>
        </w:rPr>
        <w:t xml:space="preserve">paste, </w:t>
      </w:r>
      <w:r w:rsidRPr="00704E49">
        <w:rPr>
          <w:rFonts w:ascii="Calibri" w:eastAsia="等线" w:hAnsi="Calibri" w:cs="Arial"/>
          <w:kern w:val="0"/>
          <w:sz w:val="22"/>
        </w:rPr>
        <w:t>mortar,</w:t>
      </w:r>
      <w:r w:rsidRPr="00704E49">
        <w:rPr>
          <w:rFonts w:ascii="Calibri" w:eastAsia="等线" w:hAnsi="Calibri" w:cs="Arial" w:hint="eastAsia"/>
          <w:kern w:val="0"/>
          <w:sz w:val="22"/>
        </w:rPr>
        <w:t xml:space="preserve"> or concrete</w:t>
      </w:r>
      <w:r w:rsidRPr="00704E49">
        <w:rPr>
          <w:rFonts w:ascii="Calibri" w:eastAsia="等线" w:hAnsi="Calibri" w:cs="Arial"/>
          <w:kern w:val="0"/>
          <w:sz w:val="22"/>
        </w:rPr>
        <w:t xml:space="preserve">. It is calculated as the ratio of the compressive strength of </w:t>
      </w:r>
      <w:r w:rsidRPr="00704E49">
        <w:rPr>
          <w:rFonts w:ascii="Calibri" w:eastAsia="等线" w:hAnsi="Calibri" w:cs="Arial" w:hint="eastAsia"/>
          <w:kern w:val="0"/>
          <w:sz w:val="22"/>
        </w:rPr>
        <w:t xml:space="preserve">cement </w:t>
      </w:r>
      <w:r w:rsidRPr="00704E49">
        <w:rPr>
          <w:rFonts w:ascii="Calibri" w:eastAsia="等线" w:hAnsi="Calibri" w:cs="Arial"/>
          <w:kern w:val="0"/>
          <w:sz w:val="22"/>
        </w:rPr>
        <w:t>samples containing bottom ash to those without bottom ash</w:t>
      </w:r>
      <w:r w:rsidRPr="00704E49">
        <w:rPr>
          <w:rFonts w:ascii="Calibri" w:eastAsia="等线" w:hAnsi="Calibri" w:cs="Arial" w:hint="eastAsia"/>
          <w:kern w:val="0"/>
          <w:sz w:val="22"/>
        </w:rPr>
        <w:t xml:space="preserve"> (the reference)</w:t>
      </w:r>
      <w:r w:rsidRPr="00704E49">
        <w:rPr>
          <w:rFonts w:ascii="Calibri" w:eastAsia="等线" w:hAnsi="Calibri" w:cs="Arial"/>
          <w:kern w:val="0"/>
          <w:sz w:val="22"/>
        </w:rPr>
        <w:t>. The index is provided for two different curing periods: 28-day and 90-day</w:t>
      </w:r>
      <w:r w:rsidRPr="00704E49">
        <w:rPr>
          <w:rFonts w:ascii="Calibri" w:eastAsia="等线" w:hAnsi="Calibri" w:cs="Arial" w:hint="eastAsia"/>
          <w:kern w:val="0"/>
          <w:sz w:val="22"/>
        </w:rPr>
        <w:t xml:space="preserve">. </w:t>
      </w:r>
    </w:p>
    <w:p w14:paraId="1B3BCA44" w14:textId="77777777" w:rsidR="00D76C75" w:rsidRPr="00704E49" w:rsidRDefault="00D76C75" w:rsidP="00D76C75">
      <w:pPr>
        <w:widowControl/>
        <w:spacing w:after="160" w:line="259" w:lineRule="auto"/>
        <w:jc w:val="left"/>
        <w:rPr>
          <w:rFonts w:ascii="Calibri" w:eastAsia="等线" w:hAnsi="Calibri" w:cs="Arial"/>
          <w:kern w:val="0"/>
          <w:sz w:val="22"/>
        </w:rPr>
      </w:pPr>
      <w:r w:rsidRPr="00704E49">
        <w:rPr>
          <w:rFonts w:ascii="Calibri" w:eastAsia="等线" w:hAnsi="Calibri" w:cs="Arial"/>
          <w:kern w:val="0"/>
          <w:sz w:val="22"/>
        </w:rPr>
        <w:br w:type="page"/>
      </w:r>
    </w:p>
    <w:p w14:paraId="5FCB5623" w14:textId="523C6B22" w:rsidR="00D76C75" w:rsidRPr="00704E49" w:rsidRDefault="00D76C75" w:rsidP="00D76C75">
      <w:pPr>
        <w:keepNext/>
        <w:widowControl/>
        <w:spacing w:after="200"/>
        <w:jc w:val="center"/>
        <w:rPr>
          <w:rFonts w:ascii="Calibri" w:eastAsia="宋体" w:hAnsi="Calibri" w:cs="Arial"/>
          <w:b/>
          <w:bCs/>
          <w:kern w:val="0"/>
          <w:sz w:val="18"/>
          <w:szCs w:val="18"/>
          <w:lang w:eastAsia="en-US"/>
        </w:rPr>
      </w:pPr>
      <w:bookmarkStart w:id="11" w:name="_Ref187861576"/>
      <w:r w:rsidRPr="00704E49">
        <w:rPr>
          <w:rFonts w:ascii="Calibri" w:eastAsia="宋体" w:hAnsi="Calibri" w:cs="Arial"/>
          <w:b/>
          <w:bCs/>
          <w:kern w:val="0"/>
          <w:sz w:val="18"/>
          <w:szCs w:val="18"/>
          <w:lang w:eastAsia="en-US"/>
        </w:rPr>
        <w:lastRenderedPageBreak/>
        <w:t xml:space="preserve">Table S </w:t>
      </w:r>
      <w:r w:rsidRPr="00704E49">
        <w:rPr>
          <w:rFonts w:ascii="Calibri" w:eastAsia="宋体" w:hAnsi="Calibri" w:cs="Arial"/>
          <w:b/>
          <w:bCs/>
          <w:kern w:val="0"/>
          <w:sz w:val="18"/>
          <w:szCs w:val="18"/>
          <w:lang w:eastAsia="en-US"/>
        </w:rPr>
        <w:fldChar w:fldCharType="begin"/>
      </w:r>
      <w:r w:rsidRPr="00704E49">
        <w:rPr>
          <w:rFonts w:ascii="Calibri" w:eastAsia="宋体" w:hAnsi="Calibri" w:cs="Arial"/>
          <w:b/>
          <w:bCs/>
          <w:kern w:val="0"/>
          <w:sz w:val="18"/>
          <w:szCs w:val="18"/>
          <w:lang w:eastAsia="en-US"/>
        </w:rPr>
        <w:instrText xml:space="preserve"> SEQ Table_S \* ARABIC </w:instrText>
      </w:r>
      <w:r w:rsidRPr="00704E49">
        <w:rPr>
          <w:rFonts w:ascii="Calibri" w:eastAsia="宋体" w:hAnsi="Calibri" w:cs="Arial"/>
          <w:b/>
          <w:bCs/>
          <w:kern w:val="0"/>
          <w:sz w:val="18"/>
          <w:szCs w:val="18"/>
          <w:lang w:eastAsia="en-US"/>
        </w:rPr>
        <w:fldChar w:fldCharType="separate"/>
      </w:r>
      <w:r w:rsidR="004A38FA" w:rsidRPr="00704E49">
        <w:rPr>
          <w:rFonts w:ascii="Calibri" w:eastAsia="宋体" w:hAnsi="Calibri" w:cs="Arial"/>
          <w:b/>
          <w:bCs/>
          <w:noProof/>
          <w:kern w:val="0"/>
          <w:sz w:val="18"/>
          <w:szCs w:val="18"/>
          <w:lang w:eastAsia="en-US"/>
        </w:rPr>
        <w:t>4</w:t>
      </w:r>
      <w:r w:rsidRPr="00704E49">
        <w:rPr>
          <w:rFonts w:ascii="Calibri" w:eastAsia="宋体" w:hAnsi="Calibri" w:cs="Arial"/>
          <w:b/>
          <w:bCs/>
          <w:kern w:val="0"/>
          <w:sz w:val="18"/>
          <w:szCs w:val="18"/>
          <w:lang w:eastAsia="en-US"/>
        </w:rPr>
        <w:fldChar w:fldCharType="end"/>
      </w:r>
      <w:bookmarkEnd w:id="11"/>
      <w:r w:rsidRPr="00704E49">
        <w:rPr>
          <w:rFonts w:ascii="Calibri" w:eastAsia="宋体" w:hAnsi="Calibri" w:cs="Arial" w:hint="eastAsia"/>
          <w:b/>
          <w:bCs/>
          <w:kern w:val="0"/>
          <w:sz w:val="18"/>
          <w:szCs w:val="18"/>
        </w:rPr>
        <w:t xml:space="preserve"> </w:t>
      </w:r>
      <w:r w:rsidRPr="00704E49">
        <w:rPr>
          <w:rFonts w:ascii="Calibri" w:eastAsia="宋体" w:hAnsi="Calibri" w:cs="Arial"/>
          <w:b/>
          <w:bCs/>
          <w:kern w:val="0"/>
          <w:sz w:val="18"/>
          <w:szCs w:val="18"/>
          <w:lang w:eastAsia="en-US"/>
        </w:rPr>
        <w:t>Acceptable metallic aluminum (Al) content in MSWI bottom ash for preparing blended cement pastes, mortars, and concrete, with additional information on the water-to-binder ratio, replacement level, and 28-day Ash Impact Strength Index</w:t>
      </w:r>
    </w:p>
    <w:tbl>
      <w:tblPr>
        <w:tblStyle w:val="PlainTable211"/>
        <w:tblW w:w="9085" w:type="dxa"/>
        <w:jc w:val="center"/>
        <w:tblLayout w:type="fixed"/>
        <w:tblLook w:val="04A0" w:firstRow="1" w:lastRow="0" w:firstColumn="1" w:lastColumn="0" w:noHBand="0" w:noVBand="1"/>
      </w:tblPr>
      <w:tblGrid>
        <w:gridCol w:w="2281"/>
        <w:gridCol w:w="278"/>
        <w:gridCol w:w="997"/>
        <w:gridCol w:w="999"/>
        <w:gridCol w:w="284"/>
        <w:gridCol w:w="997"/>
        <w:gridCol w:w="999"/>
        <w:gridCol w:w="305"/>
        <w:gridCol w:w="975"/>
        <w:gridCol w:w="970"/>
      </w:tblGrid>
      <w:tr w:rsidR="00D76C75" w:rsidRPr="00704E49" w14:paraId="6D67AA08" w14:textId="77777777" w:rsidTr="00AC0648">
        <w:trPr>
          <w:cnfStyle w:val="100000000000" w:firstRow="1" w:lastRow="0" w:firstColumn="0" w:lastColumn="0" w:oddVBand="0" w:evenVBand="0" w:oddHBand="0"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2281" w:type="dxa"/>
            <w:tcBorders>
              <w:bottom w:val="single" w:sz="4" w:space="0" w:color="auto"/>
            </w:tcBorders>
            <w:vAlign w:val="center"/>
          </w:tcPr>
          <w:p w14:paraId="16B468D7" w14:textId="77777777" w:rsidR="00D76C75" w:rsidRPr="00704E49" w:rsidRDefault="00D76C75" w:rsidP="00D76C75">
            <w:pPr>
              <w:widowControl/>
              <w:spacing w:before="120" w:after="120"/>
              <w:jc w:val="left"/>
              <w:rPr>
                <w:rFonts w:ascii="Calibri" w:eastAsia="等线" w:hAnsi="Calibri" w:cs="Calibri"/>
                <w:sz w:val="18"/>
                <w:szCs w:val="18"/>
              </w:rPr>
            </w:pPr>
            <w:bookmarkStart w:id="12" w:name="_Hlk179661708"/>
            <w:r w:rsidRPr="00704E49">
              <w:rPr>
                <w:rFonts w:ascii="Calibri" w:eastAsia="等线" w:hAnsi="Calibri" w:cs="Calibri"/>
                <w:sz w:val="18"/>
                <w:szCs w:val="18"/>
              </w:rPr>
              <w:t>Applications</w:t>
            </w:r>
          </w:p>
        </w:tc>
        <w:tc>
          <w:tcPr>
            <w:tcW w:w="278" w:type="dxa"/>
            <w:tcBorders>
              <w:top w:val="single" w:sz="4" w:space="0" w:color="auto"/>
              <w:bottom w:val="nil"/>
            </w:tcBorders>
            <w:vAlign w:val="center"/>
          </w:tcPr>
          <w:p w14:paraId="2226B7B4"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1996" w:type="dxa"/>
            <w:gridSpan w:val="2"/>
            <w:tcBorders>
              <w:bottom w:val="single" w:sz="4" w:space="0" w:color="auto"/>
            </w:tcBorders>
            <w:vAlign w:val="center"/>
          </w:tcPr>
          <w:p w14:paraId="426245B0"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Paste</w:t>
            </w:r>
          </w:p>
        </w:tc>
        <w:tc>
          <w:tcPr>
            <w:tcW w:w="284" w:type="dxa"/>
            <w:tcBorders>
              <w:top w:val="single" w:sz="4" w:space="0" w:color="auto"/>
              <w:bottom w:val="nil"/>
            </w:tcBorders>
            <w:vAlign w:val="center"/>
          </w:tcPr>
          <w:p w14:paraId="4F184DD9"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1996" w:type="dxa"/>
            <w:gridSpan w:val="2"/>
            <w:tcBorders>
              <w:bottom w:val="single" w:sz="4" w:space="0" w:color="auto"/>
            </w:tcBorders>
            <w:vAlign w:val="center"/>
          </w:tcPr>
          <w:p w14:paraId="726F60A9"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proofErr w:type="spellStart"/>
            <w:r w:rsidRPr="00704E49">
              <w:rPr>
                <w:rFonts w:ascii="Calibri" w:eastAsia="等线" w:hAnsi="Calibri" w:cs="Calibri"/>
                <w:sz w:val="18"/>
                <w:szCs w:val="18"/>
              </w:rPr>
              <w:t>Mortar</w:t>
            </w:r>
            <w:proofErr w:type="spellEnd"/>
          </w:p>
        </w:tc>
        <w:tc>
          <w:tcPr>
            <w:tcW w:w="305" w:type="dxa"/>
            <w:tcBorders>
              <w:top w:val="single" w:sz="4" w:space="0" w:color="auto"/>
              <w:bottom w:val="nil"/>
            </w:tcBorders>
            <w:vAlign w:val="center"/>
          </w:tcPr>
          <w:p w14:paraId="35DC23A3"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1945" w:type="dxa"/>
            <w:gridSpan w:val="2"/>
            <w:tcBorders>
              <w:bottom w:val="single" w:sz="4" w:space="0" w:color="auto"/>
            </w:tcBorders>
            <w:vAlign w:val="center"/>
          </w:tcPr>
          <w:p w14:paraId="595001F3" w14:textId="77777777" w:rsidR="00D76C75" w:rsidRPr="00704E49" w:rsidRDefault="00D76C75" w:rsidP="00D76C75">
            <w:pPr>
              <w:widowControl/>
              <w:spacing w:before="120" w:after="12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Concrete</w:t>
            </w:r>
          </w:p>
        </w:tc>
      </w:tr>
      <w:tr w:rsidR="00D76C75" w:rsidRPr="00704E49" w14:paraId="500ECFEB" w14:textId="77777777" w:rsidTr="00AC0648">
        <w:trPr>
          <w:cnfStyle w:val="000000100000" w:firstRow="0" w:lastRow="0" w:firstColumn="0" w:lastColumn="0" w:oddVBand="0" w:evenVBand="0" w:oddHBand="1" w:evenHBand="0" w:firstRowFirstColumn="0" w:firstRowLastColumn="0" w:lastRowFirstColumn="0" w:lastRowLastColumn="0"/>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nil"/>
            </w:tcBorders>
            <w:vAlign w:val="center"/>
          </w:tcPr>
          <w:p w14:paraId="3CF2DE2E" w14:textId="77777777" w:rsidR="00D76C75" w:rsidRPr="00704E49" w:rsidRDefault="00D76C75" w:rsidP="00D76C75">
            <w:pPr>
              <w:widowControl/>
              <w:spacing w:before="120" w:after="120"/>
              <w:jc w:val="left"/>
              <w:rPr>
                <w:rFonts w:ascii="Calibri" w:eastAsia="等线" w:hAnsi="Calibri" w:cs="Calibri"/>
                <w:sz w:val="18"/>
                <w:szCs w:val="18"/>
                <w:lang w:val="en-GB"/>
              </w:rPr>
            </w:pPr>
            <w:r w:rsidRPr="00704E49">
              <w:rPr>
                <w:rFonts w:ascii="Calibri" w:eastAsia="等线" w:hAnsi="Calibri" w:cs="Calibri"/>
                <w:sz w:val="18"/>
                <w:szCs w:val="18"/>
                <w:lang w:val="en-GB"/>
              </w:rPr>
              <w:t xml:space="preserve">Acceptable metallic Al content (wt.%) in MSWI bottom ash </w:t>
            </w:r>
          </w:p>
        </w:tc>
        <w:tc>
          <w:tcPr>
            <w:tcW w:w="278" w:type="dxa"/>
            <w:tcBorders>
              <w:top w:val="nil"/>
              <w:bottom w:val="nil"/>
            </w:tcBorders>
            <w:vAlign w:val="center"/>
          </w:tcPr>
          <w:p w14:paraId="4C426C7E"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p>
        </w:tc>
        <w:tc>
          <w:tcPr>
            <w:tcW w:w="997" w:type="dxa"/>
            <w:tcBorders>
              <w:top w:val="nil"/>
              <w:bottom w:val="nil"/>
            </w:tcBorders>
            <w:vAlign w:val="center"/>
          </w:tcPr>
          <w:p w14:paraId="2B48F930"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0.02</w:t>
            </w:r>
          </w:p>
        </w:tc>
        <w:tc>
          <w:tcPr>
            <w:tcW w:w="999" w:type="dxa"/>
            <w:tcBorders>
              <w:top w:val="nil"/>
              <w:bottom w:val="nil"/>
            </w:tcBorders>
            <w:vAlign w:val="center"/>
          </w:tcPr>
          <w:p w14:paraId="298C70FE"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0.13</w:t>
            </w:r>
          </w:p>
        </w:tc>
        <w:tc>
          <w:tcPr>
            <w:tcW w:w="284" w:type="dxa"/>
            <w:tcBorders>
              <w:top w:val="nil"/>
              <w:bottom w:val="nil"/>
            </w:tcBorders>
            <w:vAlign w:val="center"/>
          </w:tcPr>
          <w:p w14:paraId="0BD78FDA"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97" w:type="dxa"/>
            <w:tcBorders>
              <w:top w:val="nil"/>
              <w:bottom w:val="nil"/>
            </w:tcBorders>
            <w:vAlign w:val="center"/>
          </w:tcPr>
          <w:p w14:paraId="67B64DEC"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w:t>
            </w:r>
          </w:p>
        </w:tc>
        <w:tc>
          <w:tcPr>
            <w:tcW w:w="999" w:type="dxa"/>
            <w:tcBorders>
              <w:top w:val="nil"/>
              <w:bottom w:val="nil"/>
            </w:tcBorders>
            <w:vAlign w:val="center"/>
          </w:tcPr>
          <w:p w14:paraId="57D84B9F"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&lt;0.2</w:t>
            </w:r>
          </w:p>
        </w:tc>
        <w:tc>
          <w:tcPr>
            <w:tcW w:w="305" w:type="dxa"/>
            <w:tcBorders>
              <w:top w:val="nil"/>
              <w:bottom w:val="nil"/>
            </w:tcBorders>
            <w:vAlign w:val="center"/>
          </w:tcPr>
          <w:p w14:paraId="1FD9FA64"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75" w:type="dxa"/>
            <w:tcBorders>
              <w:top w:val="nil"/>
              <w:bottom w:val="nil"/>
            </w:tcBorders>
            <w:vAlign w:val="center"/>
          </w:tcPr>
          <w:p w14:paraId="086789D3"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0.06</w:t>
            </w:r>
          </w:p>
        </w:tc>
        <w:tc>
          <w:tcPr>
            <w:tcW w:w="970" w:type="dxa"/>
            <w:tcBorders>
              <w:top w:val="nil"/>
              <w:bottom w:val="nil"/>
            </w:tcBorders>
            <w:vAlign w:val="center"/>
          </w:tcPr>
          <w:p w14:paraId="071F1FAC"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0.19</w:t>
            </w:r>
          </w:p>
        </w:tc>
      </w:tr>
      <w:tr w:rsidR="00D76C75" w:rsidRPr="00704E49" w14:paraId="6BD7A22C" w14:textId="77777777" w:rsidTr="00AC0648">
        <w:trPr>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nil"/>
            </w:tcBorders>
            <w:vAlign w:val="center"/>
          </w:tcPr>
          <w:p w14:paraId="634B3A51" w14:textId="77777777" w:rsidR="00D76C75" w:rsidRPr="00704E49" w:rsidRDefault="00D76C75" w:rsidP="00D76C75">
            <w:pPr>
              <w:widowControl/>
              <w:spacing w:before="120" w:after="120"/>
              <w:jc w:val="left"/>
              <w:rPr>
                <w:rFonts w:ascii="Calibri" w:eastAsia="等线" w:hAnsi="Calibri" w:cs="Calibri"/>
                <w:sz w:val="18"/>
                <w:szCs w:val="18"/>
                <w:lang w:val="en-GB"/>
              </w:rPr>
            </w:pPr>
            <w:r w:rsidRPr="00704E49">
              <w:rPr>
                <w:rFonts w:ascii="Calibri" w:eastAsia="等线" w:hAnsi="Calibri" w:cs="Calibri"/>
                <w:sz w:val="18"/>
                <w:szCs w:val="18"/>
                <w:lang w:val="en-GB"/>
              </w:rPr>
              <w:t>Water to binder (w/b) ratio</w:t>
            </w:r>
          </w:p>
        </w:tc>
        <w:tc>
          <w:tcPr>
            <w:tcW w:w="278" w:type="dxa"/>
            <w:tcBorders>
              <w:top w:val="nil"/>
              <w:bottom w:val="nil"/>
            </w:tcBorders>
            <w:vAlign w:val="center"/>
          </w:tcPr>
          <w:p w14:paraId="58092E5C"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p>
        </w:tc>
        <w:tc>
          <w:tcPr>
            <w:tcW w:w="997" w:type="dxa"/>
            <w:tcBorders>
              <w:top w:val="nil"/>
              <w:bottom w:val="nil"/>
            </w:tcBorders>
            <w:vAlign w:val="center"/>
          </w:tcPr>
          <w:p w14:paraId="73445FB4"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0.4</w:t>
            </w:r>
          </w:p>
        </w:tc>
        <w:tc>
          <w:tcPr>
            <w:tcW w:w="999" w:type="dxa"/>
            <w:tcBorders>
              <w:top w:val="nil"/>
              <w:bottom w:val="nil"/>
            </w:tcBorders>
            <w:vAlign w:val="center"/>
          </w:tcPr>
          <w:p w14:paraId="211865E4"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0.5</w:t>
            </w:r>
          </w:p>
        </w:tc>
        <w:tc>
          <w:tcPr>
            <w:tcW w:w="284" w:type="dxa"/>
            <w:tcBorders>
              <w:top w:val="nil"/>
              <w:bottom w:val="nil"/>
            </w:tcBorders>
            <w:vAlign w:val="center"/>
          </w:tcPr>
          <w:p w14:paraId="4009AC14"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97" w:type="dxa"/>
            <w:tcBorders>
              <w:top w:val="nil"/>
              <w:bottom w:val="nil"/>
            </w:tcBorders>
            <w:vAlign w:val="center"/>
          </w:tcPr>
          <w:p w14:paraId="4E1B4359"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0.484</w:t>
            </w:r>
          </w:p>
        </w:tc>
        <w:tc>
          <w:tcPr>
            <w:tcW w:w="999" w:type="dxa"/>
            <w:tcBorders>
              <w:top w:val="nil"/>
              <w:bottom w:val="nil"/>
            </w:tcBorders>
            <w:vAlign w:val="center"/>
          </w:tcPr>
          <w:p w14:paraId="06F37D22"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0.7</w:t>
            </w:r>
          </w:p>
        </w:tc>
        <w:tc>
          <w:tcPr>
            <w:tcW w:w="305" w:type="dxa"/>
            <w:tcBorders>
              <w:top w:val="nil"/>
              <w:bottom w:val="nil"/>
            </w:tcBorders>
            <w:vAlign w:val="center"/>
          </w:tcPr>
          <w:p w14:paraId="461445FC"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75" w:type="dxa"/>
            <w:tcBorders>
              <w:top w:val="nil"/>
              <w:bottom w:val="nil"/>
            </w:tcBorders>
            <w:vAlign w:val="center"/>
          </w:tcPr>
          <w:p w14:paraId="12CDBD13"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0.35</w:t>
            </w:r>
          </w:p>
        </w:tc>
        <w:tc>
          <w:tcPr>
            <w:tcW w:w="970" w:type="dxa"/>
            <w:tcBorders>
              <w:top w:val="nil"/>
              <w:bottom w:val="nil"/>
            </w:tcBorders>
            <w:vAlign w:val="center"/>
          </w:tcPr>
          <w:p w14:paraId="79DB4449"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0.46</w:t>
            </w:r>
          </w:p>
        </w:tc>
      </w:tr>
      <w:tr w:rsidR="00D76C75" w:rsidRPr="00704E49" w14:paraId="57787D27" w14:textId="77777777" w:rsidTr="00AC0648">
        <w:trPr>
          <w:cnfStyle w:val="000000100000" w:firstRow="0" w:lastRow="0" w:firstColumn="0" w:lastColumn="0" w:oddVBand="0" w:evenVBand="0" w:oddHBand="1" w:evenHBand="0" w:firstRowFirstColumn="0" w:firstRowLastColumn="0" w:lastRowFirstColumn="0" w:lastRowLastColumn="0"/>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nil"/>
            </w:tcBorders>
            <w:vAlign w:val="center"/>
          </w:tcPr>
          <w:p w14:paraId="4A75635A" w14:textId="77777777" w:rsidR="00D76C75" w:rsidRPr="00704E49" w:rsidRDefault="00D76C75" w:rsidP="00D76C75">
            <w:pPr>
              <w:widowControl/>
              <w:spacing w:before="120" w:after="120"/>
              <w:jc w:val="left"/>
              <w:rPr>
                <w:rFonts w:ascii="Calibri" w:eastAsia="等线" w:hAnsi="Calibri" w:cs="Calibri"/>
                <w:sz w:val="18"/>
                <w:szCs w:val="18"/>
                <w:lang w:val="en-GB"/>
              </w:rPr>
            </w:pPr>
            <w:r w:rsidRPr="00704E49">
              <w:rPr>
                <w:rFonts w:ascii="Calibri" w:eastAsia="等线" w:hAnsi="Calibri" w:cs="Calibri"/>
                <w:sz w:val="18"/>
                <w:szCs w:val="18"/>
                <w:lang w:val="en-GB"/>
              </w:rPr>
              <w:t>Replacement level of MSWI bottom ash (%)</w:t>
            </w:r>
          </w:p>
        </w:tc>
        <w:tc>
          <w:tcPr>
            <w:tcW w:w="278" w:type="dxa"/>
            <w:tcBorders>
              <w:top w:val="nil"/>
              <w:bottom w:val="nil"/>
            </w:tcBorders>
            <w:vAlign w:val="center"/>
          </w:tcPr>
          <w:p w14:paraId="147146CB"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lang w:val="en-GB"/>
              </w:rPr>
            </w:pPr>
          </w:p>
        </w:tc>
        <w:tc>
          <w:tcPr>
            <w:tcW w:w="997" w:type="dxa"/>
            <w:tcBorders>
              <w:top w:val="nil"/>
              <w:bottom w:val="nil"/>
            </w:tcBorders>
            <w:vAlign w:val="center"/>
          </w:tcPr>
          <w:p w14:paraId="58B59E14"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25</w:t>
            </w:r>
          </w:p>
        </w:tc>
        <w:tc>
          <w:tcPr>
            <w:tcW w:w="999" w:type="dxa"/>
            <w:tcBorders>
              <w:top w:val="nil"/>
              <w:bottom w:val="nil"/>
            </w:tcBorders>
            <w:vAlign w:val="center"/>
          </w:tcPr>
          <w:p w14:paraId="4A7E5848"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25</w:t>
            </w:r>
          </w:p>
        </w:tc>
        <w:tc>
          <w:tcPr>
            <w:tcW w:w="284" w:type="dxa"/>
            <w:tcBorders>
              <w:top w:val="nil"/>
              <w:bottom w:val="nil"/>
            </w:tcBorders>
            <w:vAlign w:val="center"/>
          </w:tcPr>
          <w:p w14:paraId="6C0D9506"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97" w:type="dxa"/>
            <w:tcBorders>
              <w:top w:val="nil"/>
              <w:bottom w:val="nil"/>
            </w:tcBorders>
            <w:vAlign w:val="center"/>
          </w:tcPr>
          <w:p w14:paraId="601B0356"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20</w:t>
            </w:r>
          </w:p>
        </w:tc>
        <w:tc>
          <w:tcPr>
            <w:tcW w:w="999" w:type="dxa"/>
            <w:tcBorders>
              <w:top w:val="nil"/>
              <w:bottom w:val="nil"/>
            </w:tcBorders>
            <w:vAlign w:val="center"/>
          </w:tcPr>
          <w:p w14:paraId="075BD356"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30</w:t>
            </w:r>
          </w:p>
        </w:tc>
        <w:tc>
          <w:tcPr>
            <w:tcW w:w="305" w:type="dxa"/>
            <w:tcBorders>
              <w:top w:val="nil"/>
              <w:bottom w:val="nil"/>
            </w:tcBorders>
            <w:vAlign w:val="center"/>
          </w:tcPr>
          <w:p w14:paraId="68C73C98"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75" w:type="dxa"/>
            <w:tcBorders>
              <w:top w:val="nil"/>
              <w:bottom w:val="nil"/>
            </w:tcBorders>
            <w:vAlign w:val="center"/>
          </w:tcPr>
          <w:p w14:paraId="3E6C6F75"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20</w:t>
            </w:r>
          </w:p>
        </w:tc>
        <w:tc>
          <w:tcPr>
            <w:tcW w:w="970" w:type="dxa"/>
            <w:tcBorders>
              <w:top w:val="nil"/>
              <w:bottom w:val="nil"/>
            </w:tcBorders>
            <w:vAlign w:val="center"/>
          </w:tcPr>
          <w:p w14:paraId="60FCA5FB"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25</w:t>
            </w:r>
          </w:p>
        </w:tc>
      </w:tr>
      <w:tr w:rsidR="00D76C75" w:rsidRPr="00704E49" w14:paraId="17F0A219" w14:textId="77777777" w:rsidTr="00AC0648">
        <w:trPr>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nil"/>
            </w:tcBorders>
            <w:vAlign w:val="center"/>
          </w:tcPr>
          <w:p w14:paraId="44661B62" w14:textId="77777777" w:rsidR="00D76C75" w:rsidRPr="00704E49" w:rsidRDefault="00D76C75" w:rsidP="00D76C75">
            <w:pPr>
              <w:widowControl/>
              <w:spacing w:before="120" w:after="120"/>
              <w:jc w:val="left"/>
              <w:rPr>
                <w:rFonts w:ascii="Calibri" w:eastAsia="等线" w:hAnsi="Calibri" w:cs="Calibri"/>
                <w:sz w:val="18"/>
                <w:szCs w:val="18"/>
                <w:lang w:val="en-GB"/>
              </w:rPr>
            </w:pPr>
            <w:r w:rsidRPr="00704E49">
              <w:rPr>
                <w:rFonts w:ascii="Calibri" w:eastAsia="等线" w:hAnsi="Calibri" w:cs="Calibri"/>
                <w:sz w:val="18"/>
                <w:szCs w:val="18"/>
                <w:lang w:val="en-GB"/>
              </w:rPr>
              <w:t>28-day Ash Impact Strength Index (AISI)</w:t>
            </w:r>
          </w:p>
        </w:tc>
        <w:tc>
          <w:tcPr>
            <w:tcW w:w="278" w:type="dxa"/>
            <w:tcBorders>
              <w:top w:val="nil"/>
              <w:bottom w:val="nil"/>
            </w:tcBorders>
            <w:vAlign w:val="center"/>
          </w:tcPr>
          <w:p w14:paraId="1C354CC1"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lang w:val="en-GB"/>
              </w:rPr>
            </w:pPr>
          </w:p>
        </w:tc>
        <w:tc>
          <w:tcPr>
            <w:tcW w:w="997" w:type="dxa"/>
            <w:tcBorders>
              <w:top w:val="nil"/>
              <w:bottom w:val="nil"/>
            </w:tcBorders>
            <w:vAlign w:val="center"/>
          </w:tcPr>
          <w:p w14:paraId="43CE4CE6"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0.77</w:t>
            </w:r>
          </w:p>
        </w:tc>
        <w:tc>
          <w:tcPr>
            <w:tcW w:w="999" w:type="dxa"/>
            <w:tcBorders>
              <w:top w:val="nil"/>
              <w:bottom w:val="nil"/>
            </w:tcBorders>
            <w:vAlign w:val="center"/>
          </w:tcPr>
          <w:p w14:paraId="5C68E3A7"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0.65</w:t>
            </w:r>
          </w:p>
        </w:tc>
        <w:tc>
          <w:tcPr>
            <w:tcW w:w="284" w:type="dxa"/>
            <w:tcBorders>
              <w:top w:val="nil"/>
              <w:bottom w:val="nil"/>
            </w:tcBorders>
            <w:vAlign w:val="center"/>
          </w:tcPr>
          <w:p w14:paraId="3EF25E2D"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97" w:type="dxa"/>
            <w:tcBorders>
              <w:top w:val="nil"/>
              <w:bottom w:val="nil"/>
            </w:tcBorders>
            <w:vAlign w:val="center"/>
          </w:tcPr>
          <w:p w14:paraId="7313BC63"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0.76</w:t>
            </w:r>
          </w:p>
        </w:tc>
        <w:tc>
          <w:tcPr>
            <w:tcW w:w="999" w:type="dxa"/>
            <w:tcBorders>
              <w:top w:val="nil"/>
              <w:bottom w:val="nil"/>
            </w:tcBorders>
            <w:vAlign w:val="center"/>
          </w:tcPr>
          <w:p w14:paraId="572F0C36"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0.84</w:t>
            </w:r>
          </w:p>
        </w:tc>
        <w:tc>
          <w:tcPr>
            <w:tcW w:w="305" w:type="dxa"/>
            <w:tcBorders>
              <w:top w:val="nil"/>
              <w:bottom w:val="nil"/>
            </w:tcBorders>
            <w:vAlign w:val="center"/>
          </w:tcPr>
          <w:p w14:paraId="42F46356"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75" w:type="dxa"/>
            <w:tcBorders>
              <w:top w:val="nil"/>
              <w:bottom w:val="nil"/>
            </w:tcBorders>
            <w:vAlign w:val="center"/>
          </w:tcPr>
          <w:p w14:paraId="3493AD6A"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1.22</w:t>
            </w:r>
          </w:p>
        </w:tc>
        <w:tc>
          <w:tcPr>
            <w:tcW w:w="970" w:type="dxa"/>
            <w:tcBorders>
              <w:top w:val="nil"/>
              <w:bottom w:val="nil"/>
            </w:tcBorders>
            <w:vAlign w:val="center"/>
          </w:tcPr>
          <w:p w14:paraId="207086D0"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0.77</w:t>
            </w:r>
          </w:p>
        </w:tc>
      </w:tr>
      <w:tr w:rsidR="00D76C75" w:rsidRPr="00704E49" w14:paraId="6F7A54BC" w14:textId="77777777" w:rsidTr="00AC0648">
        <w:trPr>
          <w:cnfStyle w:val="000000100000" w:firstRow="0" w:lastRow="0" w:firstColumn="0" w:lastColumn="0" w:oddVBand="0" w:evenVBand="0" w:oddHBand="1" w:evenHBand="0" w:firstRowFirstColumn="0" w:firstRowLastColumn="0" w:lastRowFirstColumn="0" w:lastRowLastColumn="0"/>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nil"/>
            </w:tcBorders>
            <w:vAlign w:val="center"/>
          </w:tcPr>
          <w:p w14:paraId="058745F8" w14:textId="77777777" w:rsidR="00D76C75" w:rsidRPr="00704E49" w:rsidRDefault="00D76C75" w:rsidP="00D76C75">
            <w:pPr>
              <w:widowControl/>
              <w:spacing w:before="120" w:after="120"/>
              <w:jc w:val="left"/>
              <w:rPr>
                <w:rFonts w:ascii="Calibri" w:eastAsia="等线" w:hAnsi="Calibri" w:cs="Calibri"/>
                <w:sz w:val="18"/>
                <w:szCs w:val="18"/>
              </w:rPr>
            </w:pPr>
            <w:r w:rsidRPr="00704E49">
              <w:rPr>
                <w:rFonts w:ascii="Calibri" w:eastAsia="等线" w:hAnsi="Calibri" w:cs="Calibri"/>
                <w:sz w:val="18"/>
                <w:szCs w:val="18"/>
              </w:rPr>
              <w:t>Cement type</w:t>
            </w:r>
          </w:p>
        </w:tc>
        <w:tc>
          <w:tcPr>
            <w:tcW w:w="278" w:type="dxa"/>
            <w:tcBorders>
              <w:top w:val="nil"/>
              <w:bottom w:val="nil"/>
            </w:tcBorders>
            <w:vAlign w:val="center"/>
          </w:tcPr>
          <w:p w14:paraId="3193E701"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1996" w:type="dxa"/>
            <w:gridSpan w:val="2"/>
            <w:tcBorders>
              <w:top w:val="nil"/>
              <w:bottom w:val="nil"/>
            </w:tcBorders>
            <w:vAlign w:val="center"/>
          </w:tcPr>
          <w:p w14:paraId="1211D5C7"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CEM I 52.5R</w:t>
            </w:r>
          </w:p>
        </w:tc>
        <w:tc>
          <w:tcPr>
            <w:tcW w:w="284" w:type="dxa"/>
            <w:tcBorders>
              <w:top w:val="nil"/>
              <w:bottom w:val="nil"/>
            </w:tcBorders>
            <w:vAlign w:val="center"/>
          </w:tcPr>
          <w:p w14:paraId="5142E08D"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97" w:type="dxa"/>
            <w:tcBorders>
              <w:top w:val="nil"/>
              <w:bottom w:val="nil"/>
            </w:tcBorders>
            <w:vAlign w:val="center"/>
          </w:tcPr>
          <w:p w14:paraId="0DAD4FFA"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Portland cement</w:t>
            </w:r>
          </w:p>
        </w:tc>
        <w:tc>
          <w:tcPr>
            <w:tcW w:w="999" w:type="dxa"/>
            <w:tcBorders>
              <w:top w:val="nil"/>
              <w:bottom w:val="nil"/>
            </w:tcBorders>
            <w:vAlign w:val="center"/>
          </w:tcPr>
          <w:p w14:paraId="4CE1D9A0"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CEM I 52.5R</w:t>
            </w:r>
          </w:p>
        </w:tc>
        <w:tc>
          <w:tcPr>
            <w:tcW w:w="305" w:type="dxa"/>
            <w:tcBorders>
              <w:top w:val="nil"/>
              <w:bottom w:val="nil"/>
            </w:tcBorders>
            <w:vAlign w:val="center"/>
          </w:tcPr>
          <w:p w14:paraId="0F66A49F"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p>
        </w:tc>
        <w:tc>
          <w:tcPr>
            <w:tcW w:w="975" w:type="dxa"/>
            <w:tcBorders>
              <w:top w:val="nil"/>
              <w:bottom w:val="nil"/>
            </w:tcBorders>
            <w:vAlign w:val="center"/>
          </w:tcPr>
          <w:p w14:paraId="6FC624E7"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Portland cement</w:t>
            </w:r>
          </w:p>
        </w:tc>
        <w:tc>
          <w:tcPr>
            <w:tcW w:w="970" w:type="dxa"/>
            <w:tcBorders>
              <w:top w:val="nil"/>
              <w:bottom w:val="nil"/>
            </w:tcBorders>
            <w:vAlign w:val="center"/>
          </w:tcPr>
          <w:p w14:paraId="1F829427" w14:textId="77777777" w:rsidR="00D76C75" w:rsidRPr="00704E49" w:rsidRDefault="00D76C75" w:rsidP="00D76C75">
            <w:pPr>
              <w:widowControl/>
              <w:spacing w:before="120" w:after="12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t>CEM I 52.5R</w:t>
            </w:r>
          </w:p>
        </w:tc>
      </w:tr>
      <w:tr w:rsidR="00D76C75" w:rsidRPr="00704E49" w14:paraId="0AA9E19E" w14:textId="77777777" w:rsidTr="00AC0648">
        <w:trPr>
          <w:trHeight w:val="17"/>
          <w:jc w:val="center"/>
        </w:trPr>
        <w:tc>
          <w:tcPr>
            <w:cnfStyle w:val="001000000000" w:firstRow="0" w:lastRow="0" w:firstColumn="1" w:lastColumn="0" w:oddVBand="0" w:evenVBand="0" w:oddHBand="0" w:evenHBand="0" w:firstRowFirstColumn="0" w:firstRowLastColumn="0" w:lastRowFirstColumn="0" w:lastRowLastColumn="0"/>
            <w:tcW w:w="2281" w:type="dxa"/>
            <w:tcBorders>
              <w:top w:val="nil"/>
              <w:bottom w:val="single" w:sz="4" w:space="0" w:color="auto"/>
            </w:tcBorders>
            <w:vAlign w:val="center"/>
          </w:tcPr>
          <w:p w14:paraId="4311B5D2" w14:textId="77777777" w:rsidR="00D76C75" w:rsidRPr="00704E49" w:rsidRDefault="00D76C75" w:rsidP="00D76C75">
            <w:pPr>
              <w:widowControl/>
              <w:spacing w:before="120" w:after="120"/>
              <w:jc w:val="left"/>
              <w:rPr>
                <w:rFonts w:ascii="Calibri" w:eastAsia="等线" w:hAnsi="Calibri" w:cs="Calibri"/>
                <w:sz w:val="18"/>
                <w:szCs w:val="18"/>
              </w:rPr>
            </w:pPr>
            <w:proofErr w:type="spellStart"/>
            <w:r w:rsidRPr="00704E49">
              <w:rPr>
                <w:rFonts w:ascii="Calibri" w:eastAsia="等线" w:hAnsi="Calibri" w:cs="Calibri"/>
                <w:sz w:val="18"/>
                <w:szCs w:val="18"/>
              </w:rPr>
              <w:t>References</w:t>
            </w:r>
            <w:proofErr w:type="spellEnd"/>
          </w:p>
        </w:tc>
        <w:tc>
          <w:tcPr>
            <w:tcW w:w="278" w:type="dxa"/>
            <w:tcBorders>
              <w:top w:val="nil"/>
              <w:bottom w:val="single" w:sz="4" w:space="0" w:color="auto"/>
            </w:tcBorders>
            <w:vAlign w:val="center"/>
          </w:tcPr>
          <w:p w14:paraId="19790724"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97" w:type="dxa"/>
            <w:tcBorders>
              <w:top w:val="nil"/>
              <w:bottom w:val="single" w:sz="4" w:space="0" w:color="auto"/>
            </w:tcBorders>
            <w:vAlign w:val="center"/>
          </w:tcPr>
          <w:p w14:paraId="5313BF5A" w14:textId="5DF24BC0"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{"citationItems":[{"id":"ITEM-1","itemData":{"DOI":"https://doi.org/10.1016/j.cemconres.2024.107440","ISSN":"0008-8846","abstract":"This research explored the microstructure formation and strength development of blended cement pastes prepared with municipal solid waste incineration (MSWI) bottom ash. A new sample preparation approach involving water treatment of MSWI bottom ash was developed to prevent sample cracking caused by the presence of metallic aluminum (Al) in bottom ash. The result showed that ions released during water treatment of MSWI bottom ash delayed cement hydration but promoted ettringite formation in blended cement pastes during the first day. Due to water treatment, the compressive strength of MSWI bottom ash blended cement paste increased to a level similar to that of Class F coal fly ash blended cement paste after 28 days. Blending water-treated MSWI bottom ash (WMBA) with cement promoted clinker hydration at later stages. The reaction products of WMBA in blended cement system were C-S-H gel and sodicgedrite, which contributed to strength development by filling the capillary pores.","author":[{"dropping-particle":"","family":"Chen","given":"Boyu","non-dropping-particle":"","parse-names":false,"suffix":""},{"dropping-particle":"","family":"Ye","given":"Guang","non-dropping-particle":"","parse-names":false,"suffix":""}],"container-title":"Cement and Concrete Research","id":"ITEM-1","issued":{"date-parts":[["2024"]]},"page":"107440","title":"The role of water-treated municipal solid waste incineration (MSWI) bottom ash in microstructure formation and strength development of blended cement pastes","type":"article-journal","volume":"178"},"uris":["http://www.mendeley.com/documents/?uuid=60744a38-0138-43fa-bef3-ba7a0ac0b891"]}],"mendeley":{"formattedCitation":"(B. Chen &amp; Ye, 2024)","plainTextFormattedCitation":"(B. Chen &amp; Ye, 2024)","previouslyFormattedCitation":"(B. Chen &amp; Ye, 2024)"},"properties":{"noteIndex":0},"schema":"https://github.com/citation-style-language/schema/raw/master/csl-citation.json"}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(B. Chen &amp; Ye, 2024)</w:t>
            </w:r>
            <w:r w:rsidRPr="00704E49">
              <w:rPr>
                <w:rFonts w:ascii="Calibri" w:eastAsia="等线" w:hAnsi="Calibri" w:cs="Calibri"/>
                <w:sz w:val="18"/>
                <w:szCs w:val="18"/>
              </w:rPr>
              <w:fldChar w:fldCharType="end"/>
            </w:r>
          </w:p>
        </w:tc>
        <w:bookmarkStart w:id="13" w:name="_Hlk179659372"/>
        <w:tc>
          <w:tcPr>
            <w:tcW w:w="999" w:type="dxa"/>
            <w:tcBorders>
              <w:top w:val="nil"/>
              <w:bottom w:val="single" w:sz="4" w:space="0" w:color="auto"/>
            </w:tcBorders>
            <w:vAlign w:val="center"/>
          </w:tcPr>
          <w:p w14:paraId="37A0C047" w14:textId="01C8D16B"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10.1016/j.wasman.2024.01.031","ISSN":"0956053X","author":[{"dropping-particle":"","family":"Chen","given":"Boyu","non-dropping-particle":"","parse-names":false,"suffix":""},{"dropping-particle":"","family":"Chen","given":"Jiayi","non-dropping-particle":"","parse-names":false,"suffix":""},{"dropping-particle":"","family":"Mendonça Filho","given":"Fernando França","non-dropping-particle":"de","parse-names":false,"suffix":""},{"dropping-particle":"","family":"Sun","given":"Yubo","non-dropping-particle":"","parse-names":false,"suffix":""},{"dropping-particle":"","family":"Zijl","given":"Marc Brito","non-dropping-particle":"van","parse-names":false,"suffix":""},{"dropping-particle":"","family":"Copuroglu","given":"Oguzhan","non-dropping-particle":"","parse-names":false,"suffix":""},{"dropping-particle":"","family":"Ye","given":"Guang","non-dropping-particle":"","parse-names":false,"suffix":""}],"container-title":"Waste Management","id":"ITEM-1","issued":{"date-parts":[["2024","3"]]},"page":"128-139","title":"Characterization and mechanical removal of metallic aluminum (Al) embedded in weathered municipal solid waste incineration (MSWI) bottom ash for application as supplementary cementitious material","type":"article-journal","volume":"176"},"uris":["http://www.mendeley.com/documents/?uuid=5e4c1a30-f348-472e-8a04-38c3f6e09d76"]}],"mendeley":{"formattedCitation":"(B. Chen et al., 2024)","plainTextFormattedCitation":"(B. Chen et al., 2024)","previouslyFormattedCitation":"(B. Chen et al., 2024)"},"properties":{"noteIndex":0},"schema":"https://github.com/citation-style-language/schema/raw/master/csl-citation.json"}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(B. Chen et al., 2024)</w:t>
            </w:r>
            <w:r w:rsidRPr="00704E49">
              <w:rPr>
                <w:rFonts w:ascii="Calibri" w:eastAsia="等线" w:hAnsi="Calibri" w:cs="Calibri"/>
                <w:sz w:val="18"/>
                <w:szCs w:val="18"/>
              </w:rPr>
              <w:fldChar w:fldCharType="end"/>
            </w:r>
            <w:bookmarkEnd w:id="13"/>
          </w:p>
        </w:tc>
        <w:tc>
          <w:tcPr>
            <w:tcW w:w="284" w:type="dxa"/>
            <w:tcBorders>
              <w:top w:val="nil"/>
              <w:bottom w:val="single" w:sz="4" w:space="0" w:color="auto"/>
            </w:tcBorders>
            <w:vAlign w:val="center"/>
          </w:tcPr>
          <w:p w14:paraId="2CFD42CE"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97" w:type="dxa"/>
            <w:tcBorders>
              <w:top w:val="nil"/>
              <w:bottom w:val="single" w:sz="4" w:space="0" w:color="auto"/>
            </w:tcBorders>
            <w:vAlign w:val="center"/>
          </w:tcPr>
          <w:p w14:paraId="0AF8989A" w14:textId="7BE52822"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{"citationItems":[{"id":"ITEM-1","itemData":{"DOI":"10.1016/j.conbuildmat.2018.05.231","ISSN":"09500618","abstract":"Municipal solid waste incineration bottom ash (IBA) contains metallic aluminum which generates gas when in contact with cement paste. To increase the utilization potential of IBA, alkali treatment for removal of metallic aluminum is proposed. This paper investigated the effects of alkalinity, reaction temperature, and alkali type on the properties of alkali-treated IBA and the resulting IBA blended cement mortars. Results showed that alkali treatment effectively removes the metallic aluminum in IBA and minimizes aeration in IBA blended cement mortars. Furthermore, alkali treatment enhances pozzolanic properties of IBA and the resulting alkali-treated IBA possessed pozzolanic reactivity similar to coal fly ash. The strength activity indices (SAI) of the resulting alkali-treated IBA blended cement mortars were above 75% of the control at the age of 28 days and beyond. In particular, the mix incorporating IBA treated with NaOH (pH = 14) at 25 °C has a strength comparable to that of control at the age of 90 days. The proposed method provides an effective, efficient, and fast means for the removal of metallic aluminum in IBA and the alkali-treated IBA can potentially be used as supplementary cementitious materials for concrete production.","author":[{"dropping-particle":"","family":"Liu","given":"Yiquan","non-dropping-particle":"","parse-names":false,"suffix":""},{"dropping-particle":"","family":"Sidhu","given":"Kevindev Singh","non-dropping-particle":"","parse-names":false,"suffix":""},{"dropping-particle":"","family":"Chen","given":"Zhitao","non-dropping-particle":"","parse-names":false,"suffix":""},{"dropping-particle":"","family":"Yang","given":"En Hua","non-dropping-particle":"","parse-names":false,"suffix":""}],"container-title":"Construction and Building Materials","id":"ITEM-1","issued":{"date-parts":[["2018"]]},"page":"371-378","publisher":"Elsevier Ltd","title":"Alkali-treated incineration bottom ash as supplementary cementitious materials","type":"article-journal","volume":"179"},"uris":["http://www.mendeley.com/documents/?uuid=bd9141fa-3038-4116-b00d-bf67db6fad28"]}],"mendeley":{"formattedCitation":"(Liu et al., 2018)","plainTextFormattedCitation":"(Liu et al., 2018)","previouslyFormattedCitation":"(Liu et al., 2018)"},"properties":{"noteIndex":0},"schema":"https://github.com/citation-style-language/schema/raw/master/csl-citation.json"}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(Liu et al., 2018)</w:t>
            </w:r>
            <w:r w:rsidRPr="00704E49">
              <w:rPr>
                <w:rFonts w:ascii="Calibri" w:eastAsia="等线" w:hAnsi="Calibri" w:cs="Calibri"/>
                <w:sz w:val="18"/>
                <w:szCs w:val="18"/>
              </w:rPr>
              <w:fldChar w:fldCharType="end"/>
            </w:r>
          </w:p>
        </w:tc>
        <w:tc>
          <w:tcPr>
            <w:tcW w:w="999" w:type="dxa"/>
            <w:tcBorders>
              <w:top w:val="nil"/>
              <w:bottom w:val="single" w:sz="4" w:space="0" w:color="auto"/>
            </w:tcBorders>
            <w:vAlign w:val="center"/>
          </w:tcPr>
          <w:p w14:paraId="7E031585" w14:textId="392EB986"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{"citationItems":[{"id":"ITEM-1","itemData":{"DOI":"10.1016/j.cemconcomp.2016.03.015","ISSN":"09589465","abstract":"Untreated municipal solid waste incineration (MSWI) bottom ash fines (0-2 mm) have poor pozzolanic properties, and contain substances which can pose an environmental risk (e.g. heavy metals and salts). This study investigates combined treatments applied on bottom ash fines (BAF) to increase their reactivity. The treated BAF is compared with both untreated BAF and cement, and its contribution to cement hydration is investigated. Additionally, the utilization of the treated BAF in mortar as cement replacement is tested. Finally, the leaching properties of mortars containing treated and untreated BAF are estimated. According to the results obtained, the 28-day compressive and flexural strengths of mortar with 30% treated bottom ash are about 16% and 6% lower than the reference mortar, respectively. The leaching of contaminants from the crushed mortars with BAF are well under the limit values imposed by Dutch legislation.","author":[{"dropping-particle":"","family":"Tang","given":"P","non-dropping-particle":"","parse-names":false,"suffix":""},{"dropping-particle":"","family":"Florea","given":"M V A","non-dropping-particle":"","parse-names":false,"suffix":""},{"dropping-particle":"","family":"Spiesz","given":"P","non-dropping-particle":"","parse-names":false,"suffix":""},{"dropping-particle":"","family":"Brouwers","given":"H J H","non-dropping-particle":"","parse-names":false,"suffix":""}],"container-title":"Cement and Concrete Composites","id":"ITEM-1","issued":{"date-parts":[["2016"]]},"page":"194-205","publisher":"Elsevier Ltd","title":"Application of thermally activated municipal solid waste incineration (MSWI) bottom ash fines as binder substitute","type":"article-journal","volume":"70"},"uris":["http://www.mendeley.com/documents/?uuid=0005e000-9b67-4026-9ca4-76e7ace71cfe"]}],"mendeley":{"formattedCitation":"(P Tang et al., 2016)","plainTextFormattedCitation":"(P Tang et al., 2016)","previouslyFormattedCitation":"(P Tang et al., 2016)"},"properties":{"noteIndex":0},"schema":"https://github.com/citation-style-language/schema/raw/master/csl-citation.json"}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(P Tang et al., 2016)</w:t>
            </w:r>
            <w:r w:rsidRPr="00704E49">
              <w:rPr>
                <w:rFonts w:ascii="Calibri" w:eastAsia="等线" w:hAnsi="Calibri" w:cs="Calibri"/>
                <w:sz w:val="18"/>
                <w:szCs w:val="18"/>
              </w:rPr>
              <w:fldChar w:fldCharType="end"/>
            </w:r>
          </w:p>
        </w:tc>
        <w:tc>
          <w:tcPr>
            <w:tcW w:w="305" w:type="dxa"/>
            <w:tcBorders>
              <w:top w:val="nil"/>
              <w:bottom w:val="single" w:sz="4" w:space="0" w:color="auto"/>
            </w:tcBorders>
            <w:vAlign w:val="center"/>
          </w:tcPr>
          <w:p w14:paraId="575D9DC1" w14:textId="7777777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p>
        </w:tc>
        <w:tc>
          <w:tcPr>
            <w:tcW w:w="975" w:type="dxa"/>
            <w:tcBorders>
              <w:top w:val="nil"/>
              <w:bottom w:val="single" w:sz="4" w:space="0" w:color="auto"/>
            </w:tcBorders>
            <w:vAlign w:val="center"/>
          </w:tcPr>
          <w:p w14:paraId="3D79DA7E" w14:textId="7A5CFE0C"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{"citationItems":[{"id":"ITEM-1","itemData":{"DOI":"10.1016/j.conbuildmat.2020.120890","ISSN":"09500618","abstract":"This study evaluates the feasibility of partially replacing Portland cement in concrete with bottom ash (BA) from municipal solid waste incineration (MSWI). The challenge with this ash lies in its susceptibility to react expansively in alkaline conditions, leading to cracking when used in conventional high-slump concrete. This expansive behavior was confirmed to be the result of the dissolution of the ash's aluminum metal content and consequent formation of hydrogen gas. The aim of this study was to explore the suitability of BA as a cementitious additive in zero-slump dry-cast concrete instead. The premise was that dry-cast could better diffuse the generated gas and avoid internal pressure build-up. Results from isothermal calorimetry and thermal gravimetric analysis (TGA) clearly correlate enhancements in early-age cement hydration and pozzolanic reactivity. Scanning electron microscope (SEM) images revealed voids channels and larger aggregation formation in the BA applied concrete paste. Dry-cast concrete containing 20% BA replacement of cement exhibited higher strengths than ordinary Portland cement (OPC) reference samples at every test age up to 90 days, with the ultimate strength of BA concrete being 18% higher than that of OPC concrete. The addition of BA also improved resistance to freeze–thaw damage. The study found that MSWI-BA can impart enhancements to dry-cast concrete, qualifying it as a potentially suitable supplementary cementitious material. Use of this otherwise landfilled ash as raw feedstock in concrete-making demonstrates a greener approach to building – scoring favorably in environmental performance for being relevant to resource conservation, landfill diversion, and waste-recycling.","author":[{"dropping-particle":"","family":"Zhang","given":"Shipeng","non-dropping-particle":"","parse-names":false,"suffix":""},{"dropping-particle":"","family":"Ghouleh","given":"Zaid","non-dropping-particle":"","parse-names":false,"suffix":""},{"dropping-particle":"","family":"He","given":"Zhen","non-dropping-particle":"","parse-names":false,"suffix":""},{"dropping-particle":"","family":"Hu","given":"Lingling","non-dropping-particle":"","parse-names":false,"suffix":""},{"dropping-particle":"","family":"Shao","given":"Yixin","non-dropping-particle":"","parse-names":false,"suffix":""}],"container-title":"Construction and Building Materials","id":"ITEM-1","issued":{"date-parts":[["2021"]]},"publisher":"Elsevier Ltd","title":"Use of municipal solid waste incineration bottom ash as a supplementary cementitious material in dry-cast concrete","type":"article-journal","volume":"266"},"uris":["http://www.mendeley.com/documents/?uuid=eb5df7ad-61ef-4b0a-b27b-f6e3c94ff7fc"]}],"mendeley":{"formattedCitation":"(Zhang et al., 2021)","plainTextFormattedCitation":"(Zhang et al., 2021)","previouslyFormattedCitation":"(Zhang et al., 2021)"},"properties":{"noteIndex":0},"schema":"https://github.com/citation-style-language/schema/raw/master/csl-citation.json"}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(Zhang et al., 2021)</w:t>
            </w:r>
            <w:r w:rsidRPr="00704E49">
              <w:rPr>
                <w:rFonts w:ascii="Calibri" w:eastAsia="等线" w:hAnsi="Calibri" w:cs="Calibri"/>
                <w:sz w:val="18"/>
                <w:szCs w:val="18"/>
              </w:rPr>
              <w:fldChar w:fldCharType="end"/>
            </w:r>
          </w:p>
        </w:tc>
        <w:bookmarkStart w:id="14" w:name="_Hlk179659345"/>
        <w:tc>
          <w:tcPr>
            <w:tcW w:w="970" w:type="dxa"/>
            <w:tcBorders>
              <w:top w:val="nil"/>
              <w:bottom w:val="single" w:sz="4" w:space="0" w:color="auto"/>
            </w:tcBorders>
            <w:vAlign w:val="center"/>
          </w:tcPr>
          <w:p w14:paraId="06BFE466" w14:textId="5A04DB87" w:rsidR="00D76C75" w:rsidRPr="00704E49" w:rsidRDefault="00D76C75" w:rsidP="00D76C75">
            <w:pPr>
              <w:widowControl/>
              <w:spacing w:before="120" w:after="12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8"/>
                <w:szCs w:val="18"/>
              </w:rPr>
            </w:pPr>
            <w:r w:rsidRPr="00704E49">
              <w:rPr>
                <w:rFonts w:ascii="Calibri" w:eastAsia="等线" w:hAnsi="Calibri" w:cs="Calibri"/>
                <w:sz w:val="18"/>
                <w:szCs w:val="18"/>
              </w:rPr>
              <w:fldChar w:fldCharType="begin" w:fldLock="1"/>
            </w:r>
            <w:r w:rsidR="005E7D08" w:rsidRPr="00704E49">
              <w:rPr>
                <w:rFonts w:ascii="Calibri" w:eastAsia="等线" w:hAnsi="Calibri" w:cs="Calibri"/>
                <w:sz w:val="18"/>
                <w:szCs w:val="18"/>
              </w:rPr>
              <w:instrText>ADDIN CSL_CITATION {"citationItems":[{"id":"ITEM-1","itemData":{"DOI":"10.1016/j.resconrec.2020.105356","ISSN":"18790658","abstract":"An effective approach to reduce the enormous volume of non-hazardous non-recyclable waste (namely municipal solid waste, or MSW) is incineration. The incineration can be a viable solution given that landfilling of MSW is both expensive and polluting. The obtained bottom ash is a material with great potential to be used in cementitious products as partial cement replacement. This has the double advantage of reducing landfill and reducing the cement content in cementitious products (since cement is largely responsible for their carbon footprint). So far, most studies have been done at laboratory scale and mainly in pastes and mortars. In this research, the valorisation of ground MSW incineration (MSWI) bottom ash as substitute for Portland cement in concrete is analysed. This work presents the insights obtained regarding the use of MSWI ashes as binder in concrete, and their constitutive behaviour in terms of fresh and hardened properties, as well as durability properties. As a result, a well-performing concrete mix containing processed MSWI ashes as 20% of the binder has been designed. Quantification of the overall sustainability, in relation to the expected environmental impact, was also performed considering a preliminary life cycle assessment. The valorisation of the studied ashes by their use in concrete is a promising path to increase the sustainability of concrete and to upscale a waste product.","author":[{"dropping-particle":"","family":"Alderete","given":"N M","non-dropping-particle":"","parse-names":false,"suffix":""},{"dropping-particle":"","family":"Joseph","given":"A M","non-dropping-particle":"","parse-names":false,"suffix":""},{"dropping-particle":"Van","family":"Heede","given":"P","non-dropping-particle":"den","parse-names":false,"suffix":""},{"dropping-particle":"","family":"Matthys","given":"S","non-dropping-particle":"","parse-names":false,"suffix":""},{"dropping-particle":"De","family":"Belie","given":"N","non-dropping-particle":"","parse-names":false,"suffix":""}],"container-title":"Resources, Conservation and Recycling","id":"ITEM-1","issued":{"date-parts":[["2021"]]},"publisher":"Elsevier B.V.","title":"Effective and sustainable use of municipal solid waste incineration bottom ash in concrete regarding strength and durability","type":"article-journal","volume":"167"},"uris":["http://www.mendeley.com/documents/?uuid=6bee21eb-44ce-47bf-b1f7-0e3b7e78aec5"]}],"mendeley":{"formattedCitation":"(Alderete et al., 2021)","plainTextFormattedCitation":"(Alderete et al., 2021)","previouslyFormattedCitation":"(Alderete et al., 2021)"},"properties":{"noteIndex":0},"schema":"https://github.com/citation-style-language/schema/raw/master/csl-citation.json"}</w:instrText>
            </w:r>
            <w:r w:rsidRPr="00704E49">
              <w:rPr>
                <w:rFonts w:ascii="Calibri" w:eastAsia="等线" w:hAnsi="Calibri" w:cs="Calibri"/>
                <w:sz w:val="18"/>
                <w:szCs w:val="18"/>
              </w:rPr>
              <w:fldChar w:fldCharType="separate"/>
            </w:r>
            <w:r w:rsidR="0015688F" w:rsidRPr="00704E49">
              <w:rPr>
                <w:rFonts w:ascii="Calibri" w:eastAsia="等线" w:hAnsi="Calibri" w:cs="Calibri"/>
                <w:noProof/>
                <w:sz w:val="18"/>
                <w:szCs w:val="18"/>
              </w:rPr>
              <w:t>(Alderete et al., 2021)</w:t>
            </w:r>
            <w:r w:rsidRPr="00704E49">
              <w:rPr>
                <w:rFonts w:ascii="Calibri" w:eastAsia="等线" w:hAnsi="Calibri" w:cs="Calibri"/>
                <w:sz w:val="18"/>
                <w:szCs w:val="18"/>
              </w:rPr>
              <w:fldChar w:fldCharType="end"/>
            </w:r>
            <w:bookmarkEnd w:id="14"/>
          </w:p>
        </w:tc>
      </w:tr>
      <w:bookmarkEnd w:id="12"/>
    </w:tbl>
    <w:p w14:paraId="32412598" w14:textId="77777777" w:rsidR="00D76C75" w:rsidRPr="00704E49" w:rsidRDefault="00D76C75" w:rsidP="00D76C75">
      <w:pPr>
        <w:widowControl/>
        <w:spacing w:after="160" w:line="259" w:lineRule="auto"/>
        <w:jc w:val="left"/>
        <w:rPr>
          <w:rFonts w:ascii="Calibri" w:eastAsia="等线" w:hAnsi="Calibri" w:cs="Arial"/>
          <w:kern w:val="0"/>
          <w:sz w:val="22"/>
        </w:rPr>
      </w:pPr>
      <w:r w:rsidRPr="00704E49">
        <w:rPr>
          <w:rFonts w:ascii="Calibri" w:eastAsia="等线" w:hAnsi="Calibri" w:cs="Arial"/>
          <w:kern w:val="0"/>
          <w:sz w:val="22"/>
        </w:rPr>
        <w:br w:type="page"/>
      </w:r>
    </w:p>
    <w:p w14:paraId="084BFEBB" w14:textId="23721D8C" w:rsidR="00D76C75" w:rsidRPr="00704E49" w:rsidRDefault="00D76C75" w:rsidP="00D76C75">
      <w:pPr>
        <w:keepNext/>
        <w:widowControl/>
        <w:spacing w:after="200"/>
        <w:jc w:val="center"/>
        <w:rPr>
          <w:rFonts w:ascii="Calibri" w:eastAsia="宋体" w:hAnsi="Calibri" w:cs="Arial"/>
          <w:b/>
          <w:bCs/>
          <w:kern w:val="0"/>
          <w:sz w:val="18"/>
          <w:szCs w:val="18"/>
          <w:lang w:eastAsia="en-US"/>
        </w:rPr>
      </w:pPr>
      <w:bookmarkStart w:id="15" w:name="_Ref187861657"/>
      <w:bookmarkStart w:id="16" w:name="_Hlk185262606"/>
      <w:r w:rsidRPr="00704E49">
        <w:rPr>
          <w:rFonts w:ascii="Calibri" w:eastAsia="宋体" w:hAnsi="Calibri" w:cs="Arial"/>
          <w:b/>
          <w:bCs/>
          <w:kern w:val="0"/>
          <w:sz w:val="18"/>
          <w:szCs w:val="18"/>
          <w:lang w:eastAsia="en-US"/>
        </w:rPr>
        <w:lastRenderedPageBreak/>
        <w:t xml:space="preserve">Table S </w:t>
      </w:r>
      <w:r w:rsidRPr="00704E49">
        <w:rPr>
          <w:rFonts w:ascii="Calibri" w:eastAsia="宋体" w:hAnsi="Calibri" w:cs="Arial"/>
          <w:b/>
          <w:bCs/>
          <w:kern w:val="0"/>
          <w:sz w:val="18"/>
          <w:szCs w:val="18"/>
          <w:lang w:eastAsia="en-US"/>
        </w:rPr>
        <w:fldChar w:fldCharType="begin"/>
      </w:r>
      <w:r w:rsidRPr="00704E49">
        <w:rPr>
          <w:rFonts w:ascii="Calibri" w:eastAsia="宋体" w:hAnsi="Calibri" w:cs="Arial"/>
          <w:b/>
          <w:bCs/>
          <w:kern w:val="0"/>
          <w:sz w:val="18"/>
          <w:szCs w:val="18"/>
          <w:lang w:eastAsia="en-US"/>
        </w:rPr>
        <w:instrText xml:space="preserve"> SEQ Table_S \* ARABIC </w:instrText>
      </w:r>
      <w:r w:rsidRPr="00704E49">
        <w:rPr>
          <w:rFonts w:ascii="Calibri" w:eastAsia="宋体" w:hAnsi="Calibri" w:cs="Arial"/>
          <w:b/>
          <w:bCs/>
          <w:kern w:val="0"/>
          <w:sz w:val="18"/>
          <w:szCs w:val="18"/>
          <w:lang w:eastAsia="en-US"/>
        </w:rPr>
        <w:fldChar w:fldCharType="separate"/>
      </w:r>
      <w:r w:rsidR="004A38FA" w:rsidRPr="00704E49">
        <w:rPr>
          <w:rFonts w:ascii="Calibri" w:eastAsia="宋体" w:hAnsi="Calibri" w:cs="Arial"/>
          <w:b/>
          <w:bCs/>
          <w:noProof/>
          <w:kern w:val="0"/>
          <w:sz w:val="18"/>
          <w:szCs w:val="18"/>
          <w:lang w:eastAsia="en-US"/>
        </w:rPr>
        <w:t>5</w:t>
      </w:r>
      <w:r w:rsidRPr="00704E49">
        <w:rPr>
          <w:rFonts w:ascii="Calibri" w:eastAsia="宋体" w:hAnsi="Calibri" w:cs="Arial"/>
          <w:b/>
          <w:bCs/>
          <w:kern w:val="0"/>
          <w:sz w:val="18"/>
          <w:szCs w:val="18"/>
          <w:lang w:eastAsia="en-US"/>
        </w:rPr>
        <w:fldChar w:fldCharType="end"/>
      </w:r>
      <w:bookmarkEnd w:id="15"/>
      <w:r w:rsidRPr="00704E49">
        <w:rPr>
          <w:rFonts w:ascii="Calibri" w:eastAsia="宋体" w:hAnsi="Calibri" w:cs="Arial"/>
          <w:b/>
          <w:bCs/>
          <w:kern w:val="0"/>
          <w:sz w:val="18"/>
          <w:szCs w:val="18"/>
        </w:rPr>
        <w:t xml:space="preserve"> Summary of upper limit thresholds in regulatory standards used</w:t>
      </w:r>
      <w:r w:rsidRPr="00704E49">
        <w:rPr>
          <w:rFonts w:ascii="Calibri" w:eastAsia="宋体" w:hAnsi="Calibri" w:cs="Arial" w:hint="eastAsia"/>
          <w:b/>
          <w:bCs/>
          <w:kern w:val="0"/>
          <w:sz w:val="18"/>
          <w:szCs w:val="18"/>
        </w:rPr>
        <w:t xml:space="preserve"> to</w:t>
      </w:r>
      <w:r w:rsidRPr="00704E49">
        <w:rPr>
          <w:rFonts w:ascii="Calibri" w:eastAsia="宋体" w:hAnsi="Calibri" w:cs="Arial"/>
          <w:b/>
          <w:bCs/>
          <w:kern w:val="0"/>
          <w:sz w:val="18"/>
          <w:szCs w:val="18"/>
        </w:rPr>
        <w:t xml:space="preserve"> evaluate</w:t>
      </w:r>
      <w:r w:rsidRPr="00704E49">
        <w:rPr>
          <w:rFonts w:ascii="Calibri" w:eastAsia="宋体" w:hAnsi="Calibri" w:cs="Arial" w:hint="eastAsia"/>
          <w:b/>
          <w:bCs/>
          <w:kern w:val="0"/>
          <w:sz w:val="18"/>
          <w:szCs w:val="18"/>
        </w:rPr>
        <w:t xml:space="preserve"> the</w:t>
      </w:r>
      <w:r w:rsidRPr="00704E49">
        <w:rPr>
          <w:rFonts w:ascii="Calibri" w:eastAsia="宋体" w:hAnsi="Calibri" w:cs="Arial"/>
          <w:b/>
          <w:bCs/>
          <w:kern w:val="0"/>
          <w:sz w:val="18"/>
          <w:szCs w:val="18"/>
        </w:rPr>
        <w:t xml:space="preserve"> toxicity</w:t>
      </w:r>
      <w:r w:rsidRPr="00704E49">
        <w:rPr>
          <w:rFonts w:ascii="Calibri" w:eastAsia="宋体" w:hAnsi="Calibri" w:cs="Arial" w:hint="eastAsia"/>
          <w:b/>
          <w:bCs/>
          <w:kern w:val="0"/>
          <w:sz w:val="18"/>
          <w:szCs w:val="18"/>
        </w:rPr>
        <w:t xml:space="preserve"> of MSWI bottom ash-blended cement pastes, mortars, and concrete.</w:t>
      </w:r>
    </w:p>
    <w:tbl>
      <w:tblPr>
        <w:tblStyle w:val="PlainTable22"/>
        <w:tblW w:w="13890" w:type="dxa"/>
        <w:tblLayout w:type="fixed"/>
        <w:tblLook w:val="04A0" w:firstRow="1" w:lastRow="0" w:firstColumn="1" w:lastColumn="0" w:noHBand="0" w:noVBand="1"/>
      </w:tblPr>
      <w:tblGrid>
        <w:gridCol w:w="1418"/>
        <w:gridCol w:w="992"/>
        <w:gridCol w:w="925"/>
        <w:gridCol w:w="861"/>
        <w:gridCol w:w="959"/>
        <w:gridCol w:w="1013"/>
        <w:gridCol w:w="48"/>
        <w:gridCol w:w="1013"/>
        <w:gridCol w:w="1867"/>
        <w:gridCol w:w="1468"/>
        <w:gridCol w:w="1667"/>
        <w:gridCol w:w="1659"/>
      </w:tblGrid>
      <w:tr w:rsidR="00D76C75" w:rsidRPr="00704E49" w14:paraId="07D128BE" w14:textId="77777777" w:rsidTr="00AC0648">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bottom w:val="single" w:sz="4" w:space="0" w:color="auto"/>
            </w:tcBorders>
            <w:vAlign w:val="center"/>
            <w:hideMark/>
          </w:tcPr>
          <w:p w14:paraId="6677FC7C"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Regions</w:t>
            </w:r>
            <w:proofErr w:type="spellEnd"/>
          </w:p>
        </w:tc>
        <w:tc>
          <w:tcPr>
            <w:tcW w:w="992" w:type="dxa"/>
            <w:tcBorders>
              <w:top w:val="single" w:sz="4" w:space="0" w:color="auto"/>
              <w:bottom w:val="single" w:sz="4" w:space="0" w:color="auto"/>
            </w:tcBorders>
            <w:vAlign w:val="center"/>
            <w:hideMark/>
          </w:tcPr>
          <w:p w14:paraId="241E15DD"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China (Mainland) </w:t>
            </w:r>
          </w:p>
        </w:tc>
        <w:tc>
          <w:tcPr>
            <w:tcW w:w="925" w:type="dxa"/>
            <w:tcBorders>
              <w:top w:val="single" w:sz="4" w:space="0" w:color="auto"/>
              <w:bottom w:val="single" w:sz="4" w:space="0" w:color="auto"/>
            </w:tcBorders>
            <w:vAlign w:val="center"/>
          </w:tcPr>
          <w:p w14:paraId="31397995"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Taiwan</w:t>
            </w:r>
          </w:p>
        </w:tc>
        <w:tc>
          <w:tcPr>
            <w:tcW w:w="861" w:type="dxa"/>
            <w:tcBorders>
              <w:top w:val="single" w:sz="4" w:space="0" w:color="auto"/>
              <w:bottom w:val="single" w:sz="4" w:space="0" w:color="auto"/>
            </w:tcBorders>
            <w:vAlign w:val="center"/>
            <w:hideMark/>
          </w:tcPr>
          <w:p w14:paraId="04FA08BF"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USA </w:t>
            </w:r>
          </w:p>
        </w:tc>
        <w:tc>
          <w:tcPr>
            <w:tcW w:w="959" w:type="dxa"/>
            <w:tcBorders>
              <w:top w:val="single" w:sz="4" w:space="0" w:color="auto"/>
              <w:bottom w:val="single" w:sz="4" w:space="0" w:color="auto"/>
            </w:tcBorders>
            <w:vAlign w:val="center"/>
            <w:hideMark/>
          </w:tcPr>
          <w:p w14:paraId="072E4309"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Singapore </w:t>
            </w:r>
          </w:p>
        </w:tc>
        <w:tc>
          <w:tcPr>
            <w:tcW w:w="2074" w:type="dxa"/>
            <w:gridSpan w:val="3"/>
            <w:tcBorders>
              <w:top w:val="single" w:sz="4" w:space="0" w:color="auto"/>
              <w:bottom w:val="single" w:sz="4" w:space="0" w:color="auto"/>
            </w:tcBorders>
            <w:vAlign w:val="center"/>
            <w:hideMark/>
          </w:tcPr>
          <w:p w14:paraId="14CE53DD"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The Netherlands </w:t>
            </w:r>
          </w:p>
        </w:tc>
        <w:tc>
          <w:tcPr>
            <w:tcW w:w="1867" w:type="dxa"/>
            <w:tcBorders>
              <w:top w:val="single" w:sz="4" w:space="0" w:color="auto"/>
              <w:bottom w:val="single" w:sz="4" w:space="0" w:color="auto"/>
            </w:tcBorders>
            <w:vAlign w:val="center"/>
          </w:tcPr>
          <w:p w14:paraId="4A74037A"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Slovenia</w:t>
            </w:r>
          </w:p>
        </w:tc>
        <w:tc>
          <w:tcPr>
            <w:tcW w:w="1468" w:type="dxa"/>
            <w:tcBorders>
              <w:top w:val="single" w:sz="4" w:space="0" w:color="auto"/>
              <w:bottom w:val="single" w:sz="4" w:space="0" w:color="auto"/>
            </w:tcBorders>
            <w:vAlign w:val="center"/>
          </w:tcPr>
          <w:p w14:paraId="5FB63004"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Belgium</w:t>
            </w:r>
          </w:p>
        </w:tc>
        <w:tc>
          <w:tcPr>
            <w:tcW w:w="1667" w:type="dxa"/>
            <w:tcBorders>
              <w:top w:val="single" w:sz="4" w:space="0" w:color="auto"/>
              <w:bottom w:val="single" w:sz="4" w:space="0" w:color="auto"/>
            </w:tcBorders>
            <w:vAlign w:val="center"/>
          </w:tcPr>
          <w:p w14:paraId="6B5CFB58"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Austria</w:t>
            </w:r>
          </w:p>
        </w:tc>
        <w:tc>
          <w:tcPr>
            <w:tcW w:w="1659" w:type="dxa"/>
            <w:tcBorders>
              <w:top w:val="single" w:sz="4" w:space="0" w:color="auto"/>
              <w:bottom w:val="single" w:sz="4" w:space="0" w:color="auto"/>
            </w:tcBorders>
            <w:vAlign w:val="center"/>
          </w:tcPr>
          <w:p w14:paraId="69233C67" w14:textId="77777777" w:rsidR="00D76C75" w:rsidRPr="00704E49" w:rsidRDefault="00D76C75" w:rsidP="00D76C75">
            <w:pPr>
              <w:widowControl/>
              <w:snapToGrid w:val="0"/>
              <w:jc w:val="center"/>
              <w:cnfStyle w:val="100000000000" w:firstRow="1"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Denmark</w:t>
            </w:r>
          </w:p>
        </w:tc>
      </w:tr>
      <w:tr w:rsidR="00D76C75" w:rsidRPr="00704E49" w14:paraId="4A913EFE" w14:textId="77777777" w:rsidTr="00AC0648">
        <w:trPr>
          <w:cnfStyle w:val="000000100000" w:firstRow="0" w:lastRow="0" w:firstColumn="0" w:lastColumn="0" w:oddVBand="0" w:evenVBand="0" w:oddHBand="1" w:evenHBand="0" w:firstRowFirstColumn="0" w:firstRowLastColumn="0" w:lastRowFirstColumn="0" w:lastRowLastColumn="0"/>
          <w:trHeight w:val="1181"/>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bottom w:val="single" w:sz="4" w:space="0" w:color="auto"/>
            </w:tcBorders>
            <w:vAlign w:val="center"/>
          </w:tcPr>
          <w:p w14:paraId="7E14B505"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Standard</w:t>
            </w:r>
          </w:p>
        </w:tc>
        <w:tc>
          <w:tcPr>
            <w:tcW w:w="992" w:type="dxa"/>
            <w:tcBorders>
              <w:top w:val="single" w:sz="4" w:space="0" w:color="auto"/>
              <w:bottom w:val="single" w:sz="4" w:space="0" w:color="auto"/>
            </w:tcBorders>
            <w:vAlign w:val="center"/>
          </w:tcPr>
          <w:p w14:paraId="7B718343" w14:textId="03CFE84C"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rPr>
              <w:t>GB5085.3-2007</w:t>
            </w:r>
            <w:r w:rsidRPr="00704E49">
              <w:rPr>
                <w:rFonts w:ascii="Calibri" w:eastAsia="等线" w:hAnsi="Calibri" w:cs="Calibri"/>
                <w:sz w:val="16"/>
                <w:szCs w:val="16"/>
              </w:rPr>
              <w:fldChar w:fldCharType="begin" w:fldLock="1"/>
            </w:r>
            <w:r w:rsidR="005E7D08" w:rsidRPr="00704E49">
              <w:rPr>
                <w:rFonts w:ascii="Calibri" w:eastAsia="等线" w:hAnsi="Calibri" w:cs="Calibri"/>
                <w:sz w:val="16"/>
                <w:szCs w:val="16"/>
                <w:lang w:val="en-US"/>
              </w:rPr>
              <w:instrText>ADDIN CSL_CITATION {"citationItems":[{"id":"ITEM-1","itemData":{"author":[{"dropping-particle":"","family":"Ministry of Ecology and Environment of the People's Republic of China","given":"","non-dropping-particle":"","parse-names":false,"suffix":""}],"id":"ITEM-1","issued":{"date-parts":[["2007"]]},"title":"Solid waste-Extraction procedure for leaching toxicity-Sulphuric acid &amp; nitric acid method, HJ/T 299","type":"webpage"},"uris":["http://www.mendeley.com/documents/?uuid=dae796ec-3748-4c08-85ce-142784cb16d8"]}],"mendeley":{"formattedCitation":"(Ministry of Ecology and Environment of the People’s Republic of China, 2007)","plainTextFormattedCitation":"(Ministry of Ecology and Environment of the People’s Republic of China, 2007)","previouslyFormattedCitation":"(Ministry of Ecology and Environment of the People’s Republic of China, 2007)"},"properties":{"noteIndex":0},"schema":"https://github.com/citation-style-language/schema/raw/master/csl-citation.json"}</w:instrText>
            </w:r>
            <w:r w:rsidRPr="00704E49">
              <w:rPr>
                <w:rFonts w:ascii="Calibri" w:eastAsia="等线" w:hAnsi="Calibri" w:cs="Calibri"/>
                <w:sz w:val="16"/>
                <w:szCs w:val="16"/>
              </w:rPr>
              <w:fldChar w:fldCharType="separate"/>
            </w:r>
            <w:r w:rsidR="0015688F" w:rsidRPr="00704E49">
              <w:rPr>
                <w:rFonts w:ascii="Calibri" w:eastAsia="等线" w:hAnsi="Calibri" w:cs="Calibri"/>
                <w:noProof/>
                <w:sz w:val="16"/>
                <w:szCs w:val="16"/>
                <w:lang w:val="en-US"/>
              </w:rPr>
              <w:t>(Ministry of Ecology and Environment of the People’s Republic of China, 2007)</w:t>
            </w:r>
            <w:r w:rsidRPr="00704E49">
              <w:rPr>
                <w:rFonts w:ascii="Calibri" w:eastAsia="等线" w:hAnsi="Calibri" w:cs="Calibri"/>
                <w:sz w:val="16"/>
                <w:szCs w:val="16"/>
              </w:rPr>
              <w:fldChar w:fldCharType="end"/>
            </w:r>
          </w:p>
        </w:tc>
        <w:tc>
          <w:tcPr>
            <w:tcW w:w="925" w:type="dxa"/>
            <w:tcBorders>
              <w:top w:val="single" w:sz="4" w:space="0" w:color="auto"/>
              <w:bottom w:val="single" w:sz="4" w:space="0" w:color="auto"/>
            </w:tcBorders>
            <w:vAlign w:val="center"/>
          </w:tcPr>
          <w:p w14:paraId="4CC5AAAF" w14:textId="7E98F6D3"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hint="eastAsia"/>
                <w:sz w:val="16"/>
                <w:szCs w:val="16"/>
                <w:lang w:val="en-US"/>
              </w:rPr>
              <w:t xml:space="preserve">EPA 2018 b </w:t>
            </w:r>
            <w:r w:rsidRPr="00704E49">
              <w:rPr>
                <w:rFonts w:ascii="Calibri" w:eastAsia="等线" w:hAnsi="Calibri" w:cs="Calibri"/>
                <w:sz w:val="16"/>
                <w:szCs w:val="16"/>
              </w:rPr>
              <w:fldChar w:fldCharType="begin" w:fldLock="1"/>
            </w:r>
            <w:r w:rsidR="005E7D08" w:rsidRPr="00704E49">
              <w:rPr>
                <w:rFonts w:ascii="Calibri" w:eastAsia="等线" w:hAnsi="Calibri" w:cs="Calibri"/>
                <w:sz w:val="16"/>
                <w:szCs w:val="16"/>
                <w:lang w:val="en-US"/>
              </w:rPr>
              <w:instrText>ADDIN CSL_CITATION {"citationItems":[{"id":"ITEM-1","itemData":{"author":[{"dropping-particle":"","family":"Ministry of Environment","given":"","non-dropping-particle":"","parse-names":false,"suffix":""}],"id":"ITEM-1","issued":{"date-parts":[["2018"]]},"title":"Taiwan EPA Laws and Regulation Retrieving System (2018b)","type":"webpage"},"uris":["http://www.mendeley.com/documents/?uuid=1e835e29-b68f-47e5-9730-6ca5165b1c7d"]}],"mendeley":{"formattedCitation":"(Ministry of Environment, 2018)","plainTextFormattedCitation":"(Ministry of Environment, 2018)","previouslyFormattedCitation":"(Ministry of Environment, 2018)"},"properties":{"noteIndex":0},"schema":"https://github.com/citation-style-language/schema/raw/master/csl-citation.json"}</w:instrText>
            </w:r>
            <w:r w:rsidRPr="00704E49">
              <w:rPr>
                <w:rFonts w:ascii="Calibri" w:eastAsia="等线" w:hAnsi="Calibri" w:cs="Calibri"/>
                <w:sz w:val="16"/>
                <w:szCs w:val="16"/>
              </w:rPr>
              <w:fldChar w:fldCharType="separate"/>
            </w:r>
            <w:r w:rsidR="0015688F" w:rsidRPr="00704E49">
              <w:rPr>
                <w:rFonts w:ascii="Calibri" w:eastAsia="等线" w:hAnsi="Calibri" w:cs="Calibri"/>
                <w:noProof/>
                <w:sz w:val="16"/>
                <w:szCs w:val="16"/>
                <w:lang w:val="en-US"/>
              </w:rPr>
              <w:t>(Ministry of Environment, 2018)</w:t>
            </w:r>
            <w:r w:rsidRPr="00704E49">
              <w:rPr>
                <w:rFonts w:ascii="Calibri" w:eastAsia="等线" w:hAnsi="Calibri" w:cs="Calibri"/>
                <w:sz w:val="16"/>
                <w:szCs w:val="16"/>
              </w:rPr>
              <w:fldChar w:fldCharType="end"/>
            </w:r>
          </w:p>
        </w:tc>
        <w:tc>
          <w:tcPr>
            <w:tcW w:w="861" w:type="dxa"/>
            <w:tcBorders>
              <w:top w:val="single" w:sz="4" w:space="0" w:color="auto"/>
              <w:bottom w:val="single" w:sz="4" w:space="0" w:color="auto"/>
            </w:tcBorders>
            <w:vAlign w:val="center"/>
          </w:tcPr>
          <w:p w14:paraId="5631D377" w14:textId="30D79B9C"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rPr>
              <w:t>CFR-261.24</w:t>
            </w:r>
            <w:r w:rsidRPr="00704E49">
              <w:rPr>
                <w:rFonts w:ascii="Calibri" w:eastAsia="等线" w:hAnsi="Calibri" w:cs="Calibri" w:hint="eastAsia"/>
                <w:sz w:val="16"/>
                <w:szCs w:val="16"/>
                <w:lang w:val="en-US"/>
              </w:rPr>
              <w:t xml:space="preserve"> </w:t>
            </w:r>
            <w:r w:rsidRPr="00704E49">
              <w:rPr>
                <w:rFonts w:ascii="Calibri" w:eastAsia="等线" w:hAnsi="Calibri" w:cs="Calibri"/>
                <w:sz w:val="16"/>
                <w:szCs w:val="16"/>
              </w:rPr>
              <w:fldChar w:fldCharType="begin" w:fldLock="1"/>
            </w:r>
            <w:r w:rsidR="005E7D08" w:rsidRPr="00704E49">
              <w:rPr>
                <w:rFonts w:ascii="Calibri" w:eastAsia="等线" w:hAnsi="Calibri" w:cs="Calibri"/>
                <w:sz w:val="16"/>
                <w:szCs w:val="16"/>
                <w:lang w:val="en-US"/>
              </w:rPr>
              <w:instrText>ADDIN CSL_CITATION {"citationItems":[{"id":"ITEM-1","itemData":{"URL":"https://www.ecfr.gov/current/title-40/chapter-I/subchapter-I/part-261/subpart-C/section-261.24","author":[{"dropping-particle":"","family":"Federal U.S. Environmental Protection Agency","given":"","non-dropping-particle":"","parse-names":false,"suffix":""}],"id":"ITEM-1","issued":{"date-parts":[["2024"]]},"title":"40 CFR 261.24: Toxicity characteristic","type":"webpage"},"uris":["http://www.mendeley.com/documents/?uuid=7d3ed899-4c6b-40cb-86a8-30c498ffd8e7"]}],"mendeley":{"formattedCitation":"(Federal U.S. Environmental Protection Agency, 2024)","plainTextFormattedCitation":"(Federal U.S. Environmental Protection Agency, 2024)","previouslyFormattedCitation":"(Federal U.S. Environmental Protection Agency, 2024)"},"properties":{"noteIndex":0},"schema":"https://github.com/citation-style-language/schema/raw/master/csl-citation.json"}</w:instrText>
            </w:r>
            <w:r w:rsidRPr="00704E49">
              <w:rPr>
                <w:rFonts w:ascii="Calibri" w:eastAsia="等线" w:hAnsi="Calibri" w:cs="Calibri"/>
                <w:sz w:val="16"/>
                <w:szCs w:val="16"/>
              </w:rPr>
              <w:fldChar w:fldCharType="separate"/>
            </w:r>
            <w:r w:rsidR="0015688F" w:rsidRPr="00704E49">
              <w:rPr>
                <w:rFonts w:ascii="Calibri" w:eastAsia="等线" w:hAnsi="Calibri" w:cs="Calibri"/>
                <w:noProof/>
                <w:sz w:val="16"/>
                <w:szCs w:val="16"/>
                <w:lang w:val="en-US"/>
              </w:rPr>
              <w:t>(Federal U.S. Environmental Protection Agency, 2024)</w:t>
            </w:r>
            <w:r w:rsidRPr="00704E49">
              <w:rPr>
                <w:rFonts w:ascii="Calibri" w:eastAsia="等线" w:hAnsi="Calibri" w:cs="Calibri"/>
                <w:sz w:val="16"/>
                <w:szCs w:val="16"/>
              </w:rPr>
              <w:fldChar w:fldCharType="end"/>
            </w:r>
          </w:p>
        </w:tc>
        <w:tc>
          <w:tcPr>
            <w:tcW w:w="959" w:type="dxa"/>
            <w:tcBorders>
              <w:top w:val="single" w:sz="4" w:space="0" w:color="auto"/>
              <w:bottom w:val="single" w:sz="4" w:space="0" w:color="auto"/>
            </w:tcBorders>
            <w:vAlign w:val="center"/>
          </w:tcPr>
          <w:p w14:paraId="508A588B" w14:textId="40F5807B"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rPr>
              <w:t>LEACH.STD (0399)</w:t>
            </w:r>
            <w:r w:rsidRPr="00704E49">
              <w:rPr>
                <w:rFonts w:ascii="Calibri" w:eastAsia="等线" w:hAnsi="Calibri" w:cs="Calibri" w:hint="eastAsia"/>
                <w:sz w:val="16"/>
                <w:szCs w:val="16"/>
                <w:lang w:val="en-US"/>
              </w:rPr>
              <w:t xml:space="preserve"> </w:t>
            </w:r>
            <w:r w:rsidRPr="00704E49">
              <w:rPr>
                <w:rFonts w:ascii="Calibri" w:eastAsia="等线" w:hAnsi="Calibri" w:cs="Calibri"/>
                <w:sz w:val="16"/>
                <w:szCs w:val="16"/>
              </w:rPr>
              <w:fldChar w:fldCharType="begin" w:fldLock="1"/>
            </w:r>
            <w:r w:rsidR="005E7D08" w:rsidRPr="00704E49">
              <w:rPr>
                <w:rFonts w:ascii="Calibri" w:eastAsia="等线" w:hAnsi="Calibri" w:cs="Calibri"/>
                <w:sz w:val="16"/>
                <w:szCs w:val="16"/>
                <w:lang w:val="en-US"/>
              </w:rPr>
              <w:instrText>ADDIN CSL_CITATION {"citationItems":[{"id":"ITEM-1","itemData":{"URL":"https://www.nea.gov.sg/docs/default-source/e-services-forms-docs/licences-permits-building-plan-clearances/leaching-test.pdf","author":[{"dropping-particle":"","family":"Singapore National Environment Agency","given":"","non-dropping-particle":"","parse-names":false,"suffix":""}],"id":"ITEM-1","issued":{"date-parts":[["1988"]]},"title":"Leaching Test - Recommended Acceptance Criteria for Suitability of Industrial Wastes for Landfill Disposal","type":"webpage"},"uris":["http://www.mendeley.com/documents/?uuid=221dab2f-2fd2-4405-9cbb-1007130649a5"]}],"mendeley":{"formattedCitation":"(Singapore National Environment Agency, 1988)","plainTextFormattedCitation":"(Singapore National Environment Agency, 1988)","previouslyFormattedCitation":"(Singapore National Environment Agency, 1988)"},"properties":{"noteIndex":0},"schema":"https://github.com/citation-style-language/schema/raw/master/csl-citation.json"}</w:instrText>
            </w:r>
            <w:r w:rsidRPr="00704E49">
              <w:rPr>
                <w:rFonts w:ascii="Calibri" w:eastAsia="等线" w:hAnsi="Calibri" w:cs="Calibri"/>
                <w:sz w:val="16"/>
                <w:szCs w:val="16"/>
              </w:rPr>
              <w:fldChar w:fldCharType="separate"/>
            </w:r>
            <w:r w:rsidR="0015688F" w:rsidRPr="00704E49">
              <w:rPr>
                <w:rFonts w:ascii="Calibri" w:eastAsia="等线" w:hAnsi="Calibri" w:cs="Calibri"/>
                <w:noProof/>
                <w:sz w:val="16"/>
                <w:szCs w:val="16"/>
                <w:lang w:val="en-US"/>
              </w:rPr>
              <w:t>(Singapore National Environment Agency, 1988)</w:t>
            </w:r>
            <w:r w:rsidRPr="00704E49">
              <w:rPr>
                <w:rFonts w:ascii="Calibri" w:eastAsia="等线" w:hAnsi="Calibri" w:cs="Calibri"/>
                <w:sz w:val="16"/>
                <w:szCs w:val="16"/>
              </w:rPr>
              <w:fldChar w:fldCharType="end"/>
            </w:r>
          </w:p>
        </w:tc>
        <w:tc>
          <w:tcPr>
            <w:tcW w:w="2074" w:type="dxa"/>
            <w:gridSpan w:val="3"/>
            <w:tcBorders>
              <w:top w:val="single" w:sz="4" w:space="0" w:color="auto"/>
              <w:bottom w:val="single" w:sz="4" w:space="0" w:color="auto"/>
            </w:tcBorders>
            <w:vAlign w:val="center"/>
          </w:tcPr>
          <w:p w14:paraId="66739DF1" w14:textId="707D4838"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rPr>
              <w:t>Soil Quality Decree, 20</w:t>
            </w:r>
            <w:r w:rsidR="00174175" w:rsidRPr="00704E49">
              <w:rPr>
                <w:rFonts w:ascii="Calibri" w:eastAsia="等线" w:hAnsi="Calibri" w:cs="Calibri"/>
                <w:sz w:val="16"/>
                <w:szCs w:val="16"/>
                <w:lang w:val="en-US"/>
              </w:rPr>
              <w:t>22</w:t>
            </w:r>
            <w:r w:rsidRPr="00704E49">
              <w:rPr>
                <w:rFonts w:ascii="Calibri" w:eastAsia="等线" w:hAnsi="Calibri" w:cs="Calibri" w:hint="eastAsia"/>
                <w:sz w:val="16"/>
                <w:szCs w:val="16"/>
                <w:lang w:val="en-US"/>
              </w:rPr>
              <w:t xml:space="preserve"> </w:t>
            </w:r>
            <w:r w:rsidRPr="00704E49">
              <w:rPr>
                <w:rFonts w:ascii="Calibri" w:eastAsia="等线" w:hAnsi="Calibri" w:cs="Calibri"/>
                <w:sz w:val="16"/>
                <w:szCs w:val="16"/>
              </w:rPr>
              <w:fldChar w:fldCharType="begin" w:fldLock="1"/>
            </w:r>
            <w:r w:rsidR="00476715" w:rsidRPr="00704E49">
              <w:rPr>
                <w:rFonts w:ascii="Calibri" w:eastAsia="等线" w:hAnsi="Calibri" w:cs="Calibri"/>
                <w:sz w:val="16"/>
                <w:szCs w:val="16"/>
                <w:lang w:val="en-US"/>
              </w:rPr>
              <w:instrText>ADDIN CSL_CITATION {"citationItems":[{"id":"ITEM-1","itemData":{"URL":"https://wetten.overheid.nl/BWBR0047808/2025-05-21#BijlageA","author":[{"dropping-particle":"","family":"Ministry of Infrastructure and Water Management","given":"","non-dropping-particle":"","parse-names":false,"suffix":""}],"id":"ITEM-1","issued":{"date-parts":[["2022"]]},"title":"Soil Quality Decree","type":"webpage"},"uris":["http://www.mendeley.com/documents/?uuid=8f55925e-6b9b-4cf9-9c78-e2f4fe5637ae"]}],"mendeley":{"formattedCitation":"(Ministry of Infrastructure and Water Management, 2022)","plainTextFormattedCitation":"(Ministry of Infrastructure and Water Management, 2022)","previouslyFormattedCitation":"(Ministry of Infrastructure and Water Management, 2022)"},"properties":{"noteIndex":0},"schema":"https://github.com/citation-style-language/schema/raw/master/csl-citation.json"}</w:instrText>
            </w:r>
            <w:r w:rsidRPr="00704E49">
              <w:rPr>
                <w:rFonts w:ascii="Calibri" w:eastAsia="等线" w:hAnsi="Calibri" w:cs="Calibri"/>
                <w:sz w:val="16"/>
                <w:szCs w:val="16"/>
              </w:rPr>
              <w:fldChar w:fldCharType="separate"/>
            </w:r>
            <w:r w:rsidR="00174175" w:rsidRPr="00704E49">
              <w:rPr>
                <w:rFonts w:ascii="Calibri" w:eastAsia="等线" w:hAnsi="Calibri" w:cs="Calibri"/>
                <w:noProof/>
                <w:sz w:val="16"/>
                <w:szCs w:val="16"/>
                <w:lang w:val="en-US"/>
              </w:rPr>
              <w:t>(Ministry of Infrastructure and Water Management, 2022)</w:t>
            </w:r>
            <w:r w:rsidRPr="00704E49">
              <w:rPr>
                <w:rFonts w:ascii="Calibri" w:eastAsia="等线" w:hAnsi="Calibri" w:cs="Calibri"/>
                <w:sz w:val="16"/>
                <w:szCs w:val="16"/>
              </w:rPr>
              <w:fldChar w:fldCharType="end"/>
            </w:r>
          </w:p>
        </w:tc>
        <w:tc>
          <w:tcPr>
            <w:tcW w:w="1867" w:type="dxa"/>
            <w:tcBorders>
              <w:top w:val="single" w:sz="4" w:space="0" w:color="auto"/>
              <w:bottom w:val="single" w:sz="4" w:space="0" w:color="auto"/>
            </w:tcBorders>
            <w:vAlign w:val="center"/>
          </w:tcPr>
          <w:p w14:paraId="7C7F1165" w14:textId="3A005465"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14:ligatures w14:val="standardContextual"/>
              </w:rPr>
              <w:t xml:space="preserve">Decree on waste, 2022 </w:t>
            </w:r>
            <w:r w:rsidRPr="00704E49">
              <w:rPr>
                <w:rFonts w:ascii="Calibri" w:eastAsia="等线" w:hAnsi="Calibri" w:cs="Calibri"/>
                <w:sz w:val="16"/>
                <w:szCs w:val="16"/>
                <w14:ligatures w14:val="standardContextual"/>
              </w:rPr>
              <w:fldChar w:fldCharType="begin" w:fldLock="1"/>
            </w:r>
            <w:r w:rsidR="005E7D08" w:rsidRPr="00704E49">
              <w:rPr>
                <w:rFonts w:ascii="Calibri" w:eastAsia="等线" w:hAnsi="Calibri" w:cs="Calibri"/>
                <w:sz w:val="16"/>
                <w:szCs w:val="16"/>
                <w:lang w:val="en-US"/>
                <w14:ligatures w14:val="standardContextual"/>
              </w:rPr>
              <w:instrText>ADDIN CSL_CITATION {"citationItems":[{"id":"ITEM-1","itemData":{"author":[{"dropping-particle":"","family":"Republic of Slovenia","given":"","non-dropping-particle":"","parse-names":false,"suffix":""}],"edition":"Nos. 37/15","id":"ITEM-1","issued":{"date-parts":[["2022"]]},"publisher":"Official Gazette of Republic Slovenia","title":"Decree on Waste","type":"book"},"uris":["http://www.mendeley.com/documents/?uuid=687f35b2-c4b3-4247-a627-66adccdc7281","http://www.mendeley.com/documents/?uuid=4372c286-1b04-4d58-9d11-cc56ae30e4ed"]}],"mendeley":{"formattedCitation":"(Republic of Slovenia, 2022)","plainTextFormattedCitation":"(Republic of Slovenia, 2022)","previouslyFormattedCitation":"(Republic of Slovenia, 2022)"},"properties":{"noteIndex":0},"schema":"https://github.com/citation-style-language/schema/raw/master/csl-citation.json"}</w:instrText>
            </w:r>
            <w:r w:rsidRPr="00704E49">
              <w:rPr>
                <w:rFonts w:ascii="Calibri" w:eastAsia="等线" w:hAnsi="Calibri" w:cs="Calibri"/>
                <w:sz w:val="16"/>
                <w:szCs w:val="16"/>
                <w14:ligatures w14:val="standardContextual"/>
              </w:rPr>
              <w:fldChar w:fldCharType="separate"/>
            </w:r>
            <w:r w:rsidR="0015688F" w:rsidRPr="00704E49">
              <w:rPr>
                <w:rFonts w:ascii="Calibri" w:eastAsia="等线" w:hAnsi="Calibri" w:cs="Calibri"/>
                <w:noProof/>
                <w:sz w:val="16"/>
                <w:szCs w:val="16"/>
                <w:lang w:val="en-US"/>
                <w14:ligatures w14:val="standardContextual"/>
              </w:rPr>
              <w:t>(Republic of Slovenia, 2022)</w:t>
            </w:r>
            <w:r w:rsidRPr="00704E49">
              <w:rPr>
                <w:rFonts w:ascii="Calibri" w:eastAsia="等线" w:hAnsi="Calibri" w:cs="Calibri"/>
                <w:sz w:val="16"/>
                <w:szCs w:val="16"/>
                <w14:ligatures w14:val="standardContextual"/>
              </w:rPr>
              <w:fldChar w:fldCharType="end"/>
            </w:r>
          </w:p>
        </w:tc>
        <w:tc>
          <w:tcPr>
            <w:tcW w:w="1468" w:type="dxa"/>
            <w:tcBorders>
              <w:top w:val="single" w:sz="4" w:space="0" w:color="auto"/>
              <w:bottom w:val="single" w:sz="4" w:space="0" w:color="auto"/>
            </w:tcBorders>
            <w:vAlign w:val="center"/>
          </w:tcPr>
          <w:p w14:paraId="31CB50A5" w14:textId="6B200230"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roofErr w:type="spellStart"/>
            <w:r w:rsidRPr="00704E49">
              <w:rPr>
                <w:rFonts w:ascii="Calibri" w:eastAsia="等线" w:hAnsi="Calibri" w:cs="Calibri"/>
                <w:sz w:val="16"/>
                <w:szCs w:val="16"/>
                <w14:ligatures w14:val="standardContextual"/>
              </w:rPr>
              <w:t>Vlarema</w:t>
            </w:r>
            <w:proofErr w:type="spellEnd"/>
            <w:r w:rsidRPr="00704E49">
              <w:rPr>
                <w:rFonts w:ascii="Calibri" w:eastAsia="等线" w:hAnsi="Calibri" w:cs="Calibri"/>
                <w:sz w:val="16"/>
                <w:szCs w:val="16"/>
                <w14:ligatures w14:val="standardContextual"/>
              </w:rPr>
              <w:t xml:space="preserve"> 9, </w:t>
            </w:r>
            <w:proofErr w:type="spellStart"/>
            <w:r w:rsidRPr="00704E49">
              <w:rPr>
                <w:rFonts w:ascii="Calibri" w:eastAsia="等线" w:hAnsi="Calibri" w:cs="Calibri"/>
                <w:sz w:val="16"/>
                <w:szCs w:val="16"/>
                <w14:ligatures w14:val="standardContextual"/>
              </w:rPr>
              <w:t>the</w:t>
            </w:r>
            <w:proofErr w:type="spellEnd"/>
            <w:r w:rsidRPr="00704E49">
              <w:rPr>
                <w:rFonts w:ascii="Calibri" w:eastAsia="等线" w:hAnsi="Calibri" w:cs="Calibri"/>
                <w:sz w:val="16"/>
                <w:szCs w:val="16"/>
                <w14:ligatures w14:val="standardContextual"/>
              </w:rPr>
              <w:t xml:space="preserve"> </w:t>
            </w:r>
            <w:proofErr w:type="spellStart"/>
            <w:r w:rsidRPr="00704E49">
              <w:rPr>
                <w:rFonts w:ascii="Calibri" w:eastAsia="等线" w:hAnsi="Calibri" w:cs="Calibri"/>
                <w:sz w:val="16"/>
                <w:szCs w:val="16"/>
                <w14:ligatures w14:val="standardContextual"/>
              </w:rPr>
              <w:t>Belgian</w:t>
            </w:r>
            <w:proofErr w:type="spellEnd"/>
            <w:r w:rsidRPr="00704E49">
              <w:rPr>
                <w:rFonts w:ascii="Calibri" w:eastAsia="等线" w:hAnsi="Calibri" w:cs="Calibri"/>
                <w:sz w:val="16"/>
                <w:szCs w:val="16"/>
                <w14:ligatures w14:val="standardContextual"/>
              </w:rPr>
              <w:t xml:space="preserve"> Official </w:t>
            </w:r>
            <w:proofErr w:type="spellStart"/>
            <w:r w:rsidRPr="00704E49">
              <w:rPr>
                <w:rFonts w:ascii="Calibri" w:eastAsia="等线" w:hAnsi="Calibri" w:cs="Calibri"/>
                <w:sz w:val="16"/>
                <w:szCs w:val="16"/>
                <w14:ligatures w14:val="standardContextual"/>
              </w:rPr>
              <w:t>Gazette</w:t>
            </w:r>
            <w:proofErr w:type="spellEnd"/>
            <w:r w:rsidRPr="00704E49">
              <w:rPr>
                <w:rFonts w:ascii="Calibri" w:eastAsia="等线" w:hAnsi="Calibri" w:cs="Calibri"/>
                <w:sz w:val="16"/>
                <w:szCs w:val="16"/>
                <w14:ligatures w14:val="standardContextual"/>
              </w:rPr>
              <w:t xml:space="preserve"> </w:t>
            </w:r>
            <w:r w:rsidRPr="00704E49">
              <w:rPr>
                <w:rFonts w:ascii="Calibri" w:eastAsia="等线" w:hAnsi="Calibri" w:cs="Calibri"/>
                <w:sz w:val="16"/>
                <w:szCs w:val="16"/>
                <w14:ligatures w14:val="standardContextual"/>
              </w:rPr>
              <w:fldChar w:fldCharType="begin" w:fldLock="1"/>
            </w:r>
            <w:r w:rsidR="005E7D08" w:rsidRPr="00704E49">
              <w:rPr>
                <w:rFonts w:ascii="Calibri" w:eastAsia="等线" w:hAnsi="Calibri" w:cs="Calibri"/>
                <w:sz w:val="16"/>
                <w:szCs w:val="16"/>
                <w14:ligatures w14:val="standardContextual"/>
              </w:rPr>
              <w:instrText>ADDIN CSL_CITATION {"citationItems":[{"id":"ITEM-1","itemData":{"author":[{"dropping-particle":"","family":"Vlaamse overheid","given":"","non-dropping-particle":"","parse-names":false,"suffix":""}],"edition":"9th amendm","id":"ITEM-1","issued":{"date-parts":[["2024"]]},"publisher":"Belgisch Staatsblad","title":"Vlarema 9 wijzigingen voor grondstofverklaringen","type":"book"},"uris":["http://www.mendeley.com/documents/?uuid=8dc12d21-b628-495f-8495-66e21783888b","http://www.mendeley.com/documents/?uuid=12c7a321-ff3c-369a-ab93-4090ea1854bc"]}],"mendeley":{"formattedCitation":"(Vlaamse overheid, 2024)","plainTextFormattedCitation":"(Vlaamse overheid, 2024)","previouslyFormattedCitation":"(Vlaamse overheid, 2024)"},"properties":{"noteIndex":0},"schema":"https://github.com/citation-style-language/schema/raw/master/csl-citation.json"}</w:instrText>
            </w:r>
            <w:r w:rsidRPr="00704E49">
              <w:rPr>
                <w:rFonts w:ascii="Calibri" w:eastAsia="等线" w:hAnsi="Calibri" w:cs="Calibri"/>
                <w:sz w:val="16"/>
                <w:szCs w:val="16"/>
                <w14:ligatures w14:val="standardContextual"/>
              </w:rPr>
              <w:fldChar w:fldCharType="separate"/>
            </w:r>
            <w:r w:rsidR="0015688F" w:rsidRPr="00704E49">
              <w:rPr>
                <w:rFonts w:ascii="Calibri" w:eastAsia="等线" w:hAnsi="Calibri" w:cs="Calibri"/>
                <w:noProof/>
                <w:sz w:val="16"/>
                <w:szCs w:val="16"/>
                <w14:ligatures w14:val="standardContextual"/>
              </w:rPr>
              <w:t>(Vlaamse overheid, 2024)</w:t>
            </w:r>
            <w:r w:rsidRPr="00704E49">
              <w:rPr>
                <w:rFonts w:ascii="Calibri" w:eastAsia="等线" w:hAnsi="Calibri" w:cs="Calibri"/>
                <w:sz w:val="16"/>
                <w:szCs w:val="16"/>
                <w14:ligatures w14:val="standardContextual"/>
              </w:rPr>
              <w:fldChar w:fldCharType="end"/>
            </w:r>
          </w:p>
        </w:tc>
        <w:tc>
          <w:tcPr>
            <w:tcW w:w="1667" w:type="dxa"/>
            <w:tcBorders>
              <w:top w:val="single" w:sz="4" w:space="0" w:color="auto"/>
              <w:bottom w:val="single" w:sz="4" w:space="0" w:color="auto"/>
            </w:tcBorders>
            <w:vAlign w:val="center"/>
          </w:tcPr>
          <w:p w14:paraId="5FE194A5" w14:textId="37FA442A"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14:ligatures w14:val="standardContextual"/>
              </w:rPr>
              <w:t xml:space="preserve">Recycling-Built Construction Ordinance </w:t>
            </w:r>
            <w:r w:rsidRPr="00704E49">
              <w:rPr>
                <w:rFonts w:ascii="Calibri" w:eastAsia="等线" w:hAnsi="Calibri" w:cs="Calibri"/>
                <w:sz w:val="16"/>
                <w:szCs w:val="16"/>
                <w14:ligatures w14:val="standardContextual"/>
              </w:rPr>
              <w:fldChar w:fldCharType="begin" w:fldLock="1"/>
            </w:r>
            <w:r w:rsidR="005E7D08" w:rsidRPr="00704E49">
              <w:rPr>
                <w:rFonts w:ascii="Calibri" w:eastAsia="等线" w:hAnsi="Calibri" w:cs="Calibri"/>
                <w:sz w:val="16"/>
                <w:szCs w:val="16"/>
                <w:lang w:val="en-US"/>
                <w14:ligatures w14:val="standardContextual"/>
              </w:rPr>
              <w:instrText>ADDIN CSL_CITATION {"citationItems":[{"id":"ITEM-1","itemData":{"author":[{"dropping-particle":"","family":"Republic of Austria","given":"","non-dropping-particle":"","parse-names":false,"suffix":""}],"id":"ITEM-1","issued":{"date-parts":[["2024"]]},"publisher":"Federal Legal Information System (RIS)","title":"Recycling-Baustoffverordnung","type":"book"},"uris":["http://www.mendeley.com/documents/?uuid=8119d85f-24ac-47c7-81d4-3f9c4eaa8941","http://www.mendeley.com/documents/?uuid=3e567be0-68b0-3970-8708-2698695a978e"]}],"mendeley":{"formattedCitation":"(Republic of Austria, 2024)","plainTextFormattedCitation":"(Republic of Austria, 2024)","previouslyFormattedCitation":"(Republic of Austria, 2024)"},"properties":{"noteIndex":0},"schema":"https://github.com/citation-style-language/schema/raw/master/csl-citation.json"}</w:instrText>
            </w:r>
            <w:r w:rsidRPr="00704E49">
              <w:rPr>
                <w:rFonts w:ascii="Calibri" w:eastAsia="等线" w:hAnsi="Calibri" w:cs="Calibri"/>
                <w:sz w:val="16"/>
                <w:szCs w:val="16"/>
                <w14:ligatures w14:val="standardContextual"/>
              </w:rPr>
              <w:fldChar w:fldCharType="separate"/>
            </w:r>
            <w:r w:rsidR="0015688F" w:rsidRPr="00704E49">
              <w:rPr>
                <w:rFonts w:ascii="Calibri" w:eastAsia="等线" w:hAnsi="Calibri" w:cs="Calibri"/>
                <w:noProof/>
                <w:sz w:val="16"/>
                <w:szCs w:val="16"/>
                <w:lang w:val="en-US"/>
                <w14:ligatures w14:val="standardContextual"/>
              </w:rPr>
              <w:t>(Republic of Austria, 2024)</w:t>
            </w:r>
            <w:r w:rsidRPr="00704E49">
              <w:rPr>
                <w:rFonts w:ascii="Calibri" w:eastAsia="等线" w:hAnsi="Calibri" w:cs="Calibri"/>
                <w:sz w:val="16"/>
                <w:szCs w:val="16"/>
                <w14:ligatures w14:val="standardContextual"/>
              </w:rPr>
              <w:fldChar w:fldCharType="end"/>
            </w:r>
          </w:p>
        </w:tc>
        <w:tc>
          <w:tcPr>
            <w:tcW w:w="1659" w:type="dxa"/>
            <w:tcBorders>
              <w:top w:val="single" w:sz="4" w:space="0" w:color="auto"/>
              <w:bottom w:val="single" w:sz="4" w:space="0" w:color="auto"/>
            </w:tcBorders>
            <w:vAlign w:val="center"/>
          </w:tcPr>
          <w:p w14:paraId="6C105B73" w14:textId="6D763D23"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US"/>
              </w:rPr>
            </w:pPr>
            <w:r w:rsidRPr="00704E49">
              <w:rPr>
                <w:rFonts w:ascii="Calibri" w:eastAsia="等线" w:hAnsi="Calibri" w:cs="Calibri"/>
                <w:sz w:val="16"/>
                <w:szCs w:val="16"/>
                <w:lang w:val="en-US"/>
                <w14:ligatures w14:val="standardContextual"/>
              </w:rPr>
              <w:t>Statutory Order no. 1672/201</w:t>
            </w:r>
            <w:r w:rsidRPr="00704E49">
              <w:rPr>
                <w:rFonts w:ascii="Calibri" w:eastAsia="等线" w:hAnsi="Calibri" w:cs="Calibri" w:hint="eastAsia"/>
                <w:sz w:val="16"/>
                <w:szCs w:val="16"/>
                <w:lang w:val="en-US"/>
                <w14:ligatures w14:val="standardContextual"/>
              </w:rPr>
              <w:t xml:space="preserve">6 </w:t>
            </w:r>
            <w:r w:rsidRPr="00704E49">
              <w:rPr>
                <w:rFonts w:ascii="Calibri" w:eastAsia="等线" w:hAnsi="Calibri" w:cs="Calibri"/>
                <w:sz w:val="16"/>
                <w:szCs w:val="16"/>
                <w14:ligatures w14:val="standardContextual"/>
              </w:rPr>
              <w:fldChar w:fldCharType="begin" w:fldLock="1"/>
            </w:r>
            <w:r w:rsidR="005E7D08" w:rsidRPr="00704E49">
              <w:rPr>
                <w:rFonts w:ascii="Calibri" w:eastAsia="等线" w:hAnsi="Calibri" w:cs="Calibri"/>
                <w:sz w:val="16"/>
                <w:szCs w:val="16"/>
                <w:lang w:val="en-US"/>
                <w14:ligatures w14:val="standardContextual"/>
              </w:rPr>
              <w:instrText>ADDIN CSL_CITATION {"citationItems":[{"id":"ITEM-1","itemData":{"author":[{"dropping-particle":"","family":"Kingdom of Denmark","given":"","non-dropping-particle":"","parse-names":false,"suffix":""}],"id":"ITEM-1","issued":{"date-parts":[["2016"]]},"title":"BEK nr 1672 af 15/12/2016. Bekendtgørelse om anvendelse af restprodukter, jord og sorteret bygge- oganlægsaffald, Denmark.","type":"report"},"uris":["http://www.mendeley.com/documents/?uuid=acfd8a7e-9152-46b6-814b-555cfc989470"]}],"mendeley":{"formattedCitation":"(Kingdom of Denmark, 2016)","plainTextFormattedCitation":"(Kingdom of Denmark, 2016)","previouslyFormattedCitation":"(Kingdom of Denmark, 2016)"},"properties":{"noteIndex":0},"schema":"https://github.com/citation-style-language/schema/raw/master/csl-citation.json"}</w:instrText>
            </w:r>
            <w:r w:rsidRPr="00704E49">
              <w:rPr>
                <w:rFonts w:ascii="Calibri" w:eastAsia="等线" w:hAnsi="Calibri" w:cs="Calibri"/>
                <w:sz w:val="16"/>
                <w:szCs w:val="16"/>
                <w14:ligatures w14:val="standardContextual"/>
              </w:rPr>
              <w:fldChar w:fldCharType="separate"/>
            </w:r>
            <w:r w:rsidR="0015688F" w:rsidRPr="00704E49">
              <w:rPr>
                <w:rFonts w:ascii="Calibri" w:eastAsia="等线" w:hAnsi="Calibri" w:cs="Calibri"/>
                <w:noProof/>
                <w:sz w:val="16"/>
                <w:szCs w:val="16"/>
                <w:lang w:val="en-US"/>
                <w14:ligatures w14:val="standardContextual"/>
              </w:rPr>
              <w:t>(Kingdom of Denmark, 2016)</w:t>
            </w:r>
            <w:r w:rsidRPr="00704E49">
              <w:rPr>
                <w:rFonts w:ascii="Calibri" w:eastAsia="等线" w:hAnsi="Calibri" w:cs="Calibri"/>
                <w:sz w:val="16"/>
                <w:szCs w:val="16"/>
                <w14:ligatures w14:val="standardContextual"/>
              </w:rPr>
              <w:fldChar w:fldCharType="end"/>
            </w:r>
          </w:p>
        </w:tc>
      </w:tr>
      <w:tr w:rsidR="00D76C75" w:rsidRPr="00704E49" w14:paraId="3B9D00BE" w14:textId="77777777" w:rsidTr="00AC0648">
        <w:trPr>
          <w:trHeight w:val="1181"/>
        </w:trPr>
        <w:tc>
          <w:tcPr>
            <w:cnfStyle w:val="001000000000" w:firstRow="0" w:lastRow="0" w:firstColumn="1" w:lastColumn="0" w:oddVBand="0" w:evenVBand="0" w:oddHBand="0" w:evenHBand="0" w:firstRowFirstColumn="0" w:firstRowLastColumn="0" w:lastRowFirstColumn="0" w:lastRowLastColumn="0"/>
            <w:tcW w:w="1418" w:type="dxa"/>
            <w:tcBorders>
              <w:bottom w:val="single" w:sz="4" w:space="0" w:color="auto"/>
            </w:tcBorders>
            <w:vAlign w:val="center"/>
          </w:tcPr>
          <w:p w14:paraId="412A659F"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 xml:space="preserve">Scope of </w:t>
            </w:r>
            <w:proofErr w:type="spellStart"/>
            <w:r w:rsidRPr="00704E49">
              <w:rPr>
                <w:rFonts w:ascii="Calibri" w:eastAsia="等线" w:hAnsi="Calibri" w:cs="Calibri"/>
                <w:sz w:val="16"/>
                <w:szCs w:val="16"/>
              </w:rPr>
              <w:t>application</w:t>
            </w:r>
            <w:proofErr w:type="spellEnd"/>
          </w:p>
        </w:tc>
        <w:tc>
          <w:tcPr>
            <w:tcW w:w="992" w:type="dxa"/>
            <w:tcBorders>
              <w:bottom w:val="single" w:sz="4" w:space="0" w:color="auto"/>
            </w:tcBorders>
            <w:vAlign w:val="center"/>
          </w:tcPr>
          <w:p w14:paraId="12896C51"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Solid waste</w:t>
            </w:r>
          </w:p>
        </w:tc>
        <w:tc>
          <w:tcPr>
            <w:tcW w:w="925" w:type="dxa"/>
            <w:tcBorders>
              <w:bottom w:val="single" w:sz="4" w:space="0" w:color="auto"/>
            </w:tcBorders>
            <w:vAlign w:val="center"/>
          </w:tcPr>
          <w:p w14:paraId="3D0D13F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roofErr w:type="spellStart"/>
            <w:r w:rsidRPr="00704E49">
              <w:rPr>
                <w:rFonts w:ascii="Calibri" w:eastAsia="等线" w:hAnsi="Calibri" w:cs="Calibri" w:hint="eastAsia"/>
                <w:sz w:val="16"/>
                <w:szCs w:val="16"/>
              </w:rPr>
              <w:t>Recycled</w:t>
            </w:r>
            <w:proofErr w:type="spellEnd"/>
            <w:r w:rsidRPr="00704E49">
              <w:rPr>
                <w:rFonts w:ascii="Calibri" w:eastAsia="等线" w:hAnsi="Calibri" w:cs="Calibri" w:hint="eastAsia"/>
                <w:sz w:val="16"/>
                <w:szCs w:val="16"/>
              </w:rPr>
              <w:t xml:space="preserve"> </w:t>
            </w:r>
            <w:proofErr w:type="spellStart"/>
            <w:r w:rsidRPr="00704E49">
              <w:rPr>
                <w:rFonts w:ascii="Calibri" w:eastAsia="等线" w:hAnsi="Calibri" w:cs="Calibri" w:hint="eastAsia"/>
                <w:sz w:val="16"/>
                <w:szCs w:val="16"/>
              </w:rPr>
              <w:t>aggregates</w:t>
            </w:r>
            <w:proofErr w:type="spellEnd"/>
          </w:p>
        </w:tc>
        <w:tc>
          <w:tcPr>
            <w:tcW w:w="861" w:type="dxa"/>
            <w:tcBorders>
              <w:bottom w:val="single" w:sz="4" w:space="0" w:color="auto"/>
            </w:tcBorders>
            <w:vAlign w:val="center"/>
          </w:tcPr>
          <w:p w14:paraId="39C337C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Solid waste (except manufactured gas plant waste)</w:t>
            </w:r>
          </w:p>
        </w:tc>
        <w:tc>
          <w:tcPr>
            <w:tcW w:w="959" w:type="dxa"/>
            <w:tcBorders>
              <w:bottom w:val="single" w:sz="4" w:space="0" w:color="auto"/>
            </w:tcBorders>
            <w:vAlign w:val="center"/>
          </w:tcPr>
          <w:p w14:paraId="113FB9B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Industrial wastes for landfill disposal</w:t>
            </w:r>
          </w:p>
        </w:tc>
        <w:tc>
          <w:tcPr>
            <w:tcW w:w="2074" w:type="dxa"/>
            <w:gridSpan w:val="3"/>
            <w:tcBorders>
              <w:bottom w:val="single" w:sz="4" w:space="0" w:color="auto"/>
            </w:tcBorders>
            <w:vAlign w:val="center"/>
          </w:tcPr>
          <w:p w14:paraId="54C474F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Building </w:t>
            </w:r>
            <w:proofErr w:type="spellStart"/>
            <w:r w:rsidRPr="00704E49">
              <w:rPr>
                <w:rFonts w:ascii="Calibri" w:eastAsia="等线" w:hAnsi="Calibri" w:cs="Calibri"/>
                <w:sz w:val="16"/>
                <w:szCs w:val="16"/>
              </w:rPr>
              <w:t>materials</w:t>
            </w:r>
            <w:proofErr w:type="spellEnd"/>
          </w:p>
        </w:tc>
        <w:tc>
          <w:tcPr>
            <w:tcW w:w="1867" w:type="dxa"/>
            <w:tcBorders>
              <w:bottom w:val="single" w:sz="4" w:space="0" w:color="auto"/>
            </w:tcBorders>
            <w:vAlign w:val="center"/>
          </w:tcPr>
          <w:p w14:paraId="0FC77575"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For all waste, unless otherwise specified by a special regulation for an individual type of waste or an individual waste stream</w:t>
            </w:r>
          </w:p>
        </w:tc>
        <w:tc>
          <w:tcPr>
            <w:tcW w:w="1468" w:type="dxa"/>
            <w:tcBorders>
              <w:bottom w:val="single" w:sz="4" w:space="0" w:color="auto"/>
            </w:tcBorders>
            <w:vAlign w:val="center"/>
          </w:tcPr>
          <w:p w14:paraId="71F1C18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Criteria for raw materials</w:t>
            </w:r>
            <w:bookmarkStart w:id="17" w:name="_Hlk180354122"/>
            <w:r w:rsidRPr="00704E49">
              <w:rPr>
                <w:rFonts w:ascii="Calibri" w:eastAsia="等线" w:hAnsi="Calibri" w:cs="Calibri"/>
                <w:sz w:val="16"/>
                <w:szCs w:val="16"/>
                <w:lang w:val="en-GB"/>
              </w:rPr>
              <w:t xml:space="preserve"> intended for use as building materials</w:t>
            </w:r>
            <w:bookmarkEnd w:id="17"/>
          </w:p>
        </w:tc>
        <w:tc>
          <w:tcPr>
            <w:tcW w:w="1667" w:type="dxa"/>
            <w:tcBorders>
              <w:bottom w:val="single" w:sz="4" w:space="0" w:color="auto"/>
            </w:tcBorders>
            <w:vAlign w:val="center"/>
          </w:tcPr>
          <w:p w14:paraId="629B12F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Parameters and limit values for aggregates for unbound as well as for hydraulically or bituminous applications</w:t>
            </w:r>
          </w:p>
        </w:tc>
        <w:tc>
          <w:tcPr>
            <w:tcW w:w="1659" w:type="dxa"/>
            <w:tcBorders>
              <w:bottom w:val="single" w:sz="4" w:space="0" w:color="auto"/>
            </w:tcBorders>
            <w:vAlign w:val="center"/>
          </w:tcPr>
          <w:p w14:paraId="7233785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Limit values and conditions of application of bottom ash gravel for backfilling and road construction purp</w:t>
            </w:r>
            <w:r w:rsidRPr="00704E49">
              <w:rPr>
                <w:rFonts w:ascii="Calibri" w:eastAsia="等线" w:hAnsi="Calibri" w:cs="Calibri" w:hint="eastAsia"/>
                <w:sz w:val="16"/>
                <w:szCs w:val="16"/>
                <w:lang w:val="en-GB"/>
              </w:rPr>
              <w:t>ose</w:t>
            </w:r>
          </w:p>
        </w:tc>
      </w:tr>
      <w:tr w:rsidR="00D76C75" w:rsidRPr="00704E49" w14:paraId="4260A579" w14:textId="77777777" w:rsidTr="00AC0648">
        <w:trPr>
          <w:cnfStyle w:val="000000100000" w:firstRow="0" w:lastRow="0" w:firstColumn="0" w:lastColumn="0" w:oddVBand="0" w:evenVBand="0" w:oddHBand="1"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1418" w:type="dxa"/>
            <w:vMerge w:val="restart"/>
            <w:vAlign w:val="center"/>
          </w:tcPr>
          <w:p w14:paraId="1132502B" w14:textId="77777777" w:rsidR="00D76C75" w:rsidRPr="00704E49" w:rsidRDefault="00D76C75" w:rsidP="00D76C75">
            <w:pPr>
              <w:widowControl/>
              <w:snapToGrid w:val="0"/>
              <w:jc w:val="left"/>
              <w:rPr>
                <w:rFonts w:ascii="Calibri" w:eastAsia="等线" w:hAnsi="Calibri" w:cs="Calibri"/>
                <w:sz w:val="16"/>
                <w:szCs w:val="16"/>
              </w:rPr>
            </w:pPr>
            <w:bookmarkStart w:id="18" w:name="_Hlk161560694"/>
            <w:proofErr w:type="spellStart"/>
            <w:r w:rsidRPr="00704E49">
              <w:rPr>
                <w:rFonts w:ascii="Calibri" w:eastAsia="等线" w:hAnsi="Calibri" w:cs="Calibri"/>
                <w:sz w:val="16"/>
                <w:szCs w:val="16"/>
              </w:rPr>
              <w:t>Regulatory</w:t>
            </w:r>
            <w:proofErr w:type="spellEnd"/>
            <w:r w:rsidRPr="00704E49">
              <w:rPr>
                <w:rFonts w:ascii="Calibri" w:eastAsia="等线" w:hAnsi="Calibri" w:cs="Calibri"/>
                <w:sz w:val="16"/>
                <w:szCs w:val="16"/>
              </w:rPr>
              <w:t xml:space="preserve"> </w:t>
            </w:r>
            <w:proofErr w:type="spellStart"/>
            <w:r w:rsidRPr="00704E49">
              <w:rPr>
                <w:rFonts w:ascii="Calibri" w:eastAsia="等线" w:hAnsi="Calibri" w:cs="Calibri"/>
                <w:sz w:val="16"/>
                <w:szCs w:val="16"/>
              </w:rPr>
              <w:t>value</w:t>
            </w:r>
            <w:bookmarkEnd w:id="18"/>
            <w:proofErr w:type="spellEnd"/>
          </w:p>
        </w:tc>
        <w:tc>
          <w:tcPr>
            <w:tcW w:w="3737" w:type="dxa"/>
            <w:gridSpan w:val="4"/>
            <w:vMerge w:val="restart"/>
            <w:vAlign w:val="center"/>
          </w:tcPr>
          <w:p w14:paraId="523A3E9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Maximum Concentration </w:t>
            </w:r>
            <w:r w:rsidRPr="00704E49">
              <w:rPr>
                <w:rFonts w:ascii="Calibri" w:eastAsia="等线" w:hAnsi="Calibri" w:cs="Calibri"/>
                <w:sz w:val="16"/>
                <w:szCs w:val="16"/>
                <w:lang w:val="en-GB"/>
              </w:rPr>
              <w:t>（</w:t>
            </w:r>
            <w:r w:rsidRPr="00704E49">
              <w:rPr>
                <w:rFonts w:ascii="Calibri" w:eastAsia="等线" w:hAnsi="Calibri" w:cs="Calibri"/>
                <w:sz w:val="16"/>
                <w:szCs w:val="16"/>
                <w:lang w:val="en-GB"/>
              </w:rPr>
              <w:t>mg/L)</w:t>
            </w:r>
          </w:p>
        </w:tc>
        <w:tc>
          <w:tcPr>
            <w:tcW w:w="2074" w:type="dxa"/>
            <w:gridSpan w:val="3"/>
            <w:vAlign w:val="center"/>
          </w:tcPr>
          <w:p w14:paraId="2E513A9E" w14:textId="545D31D5" w:rsidR="00D76C75" w:rsidRPr="00704E49" w:rsidRDefault="00D76C75" w:rsidP="00CA5581">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Upper limit value </w:t>
            </w:r>
          </w:p>
        </w:tc>
        <w:tc>
          <w:tcPr>
            <w:tcW w:w="1867" w:type="dxa"/>
            <w:vAlign w:val="center"/>
          </w:tcPr>
          <w:p w14:paraId="7D4296D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Upper limit value </w:t>
            </w:r>
          </w:p>
          <w:p w14:paraId="7EA18EF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(mg/kg dry solid)</w:t>
            </w:r>
          </w:p>
        </w:tc>
        <w:tc>
          <w:tcPr>
            <w:tcW w:w="1468" w:type="dxa"/>
            <w:vAlign w:val="center"/>
          </w:tcPr>
          <w:p w14:paraId="16F6AA6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Upper limit value </w:t>
            </w:r>
          </w:p>
          <w:p w14:paraId="0FF49B1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(mg/kg dry solid)</w:t>
            </w:r>
          </w:p>
        </w:tc>
        <w:tc>
          <w:tcPr>
            <w:tcW w:w="1667" w:type="dxa"/>
            <w:vAlign w:val="center"/>
          </w:tcPr>
          <w:p w14:paraId="35EFBC5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Upper limit value </w:t>
            </w:r>
          </w:p>
          <w:p w14:paraId="49194BC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(mg/kg dry solid), class U-A</w:t>
            </w:r>
          </w:p>
        </w:tc>
        <w:tc>
          <w:tcPr>
            <w:tcW w:w="1659" w:type="dxa"/>
            <w:vAlign w:val="center"/>
          </w:tcPr>
          <w:p w14:paraId="6A7C893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 xml:space="preserve">Upper limit value </w:t>
            </w:r>
          </w:p>
          <w:p w14:paraId="46A8520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(mg/kg dry solid), Category 3</w:t>
            </w:r>
          </w:p>
        </w:tc>
      </w:tr>
      <w:tr w:rsidR="00D76C75" w:rsidRPr="00704E49" w14:paraId="323444EA" w14:textId="77777777" w:rsidTr="00D76C75">
        <w:trPr>
          <w:trHeight w:val="653"/>
        </w:trPr>
        <w:tc>
          <w:tcPr>
            <w:cnfStyle w:val="001000000000" w:firstRow="0" w:lastRow="0" w:firstColumn="1" w:lastColumn="0" w:oddVBand="0" w:evenVBand="0" w:oddHBand="0" w:evenHBand="0" w:firstRowFirstColumn="0" w:firstRowLastColumn="0" w:lastRowFirstColumn="0" w:lastRowLastColumn="0"/>
            <w:tcW w:w="1418" w:type="dxa"/>
            <w:vMerge/>
            <w:tcBorders>
              <w:bottom w:val="single" w:sz="4" w:space="0" w:color="7F7F7F"/>
            </w:tcBorders>
            <w:vAlign w:val="center"/>
          </w:tcPr>
          <w:p w14:paraId="10B8EA40" w14:textId="77777777" w:rsidR="00D76C75" w:rsidRPr="00704E49" w:rsidRDefault="00D76C75" w:rsidP="00D76C75">
            <w:pPr>
              <w:widowControl/>
              <w:snapToGrid w:val="0"/>
              <w:jc w:val="left"/>
              <w:rPr>
                <w:rFonts w:ascii="Calibri" w:eastAsia="等线" w:hAnsi="Calibri" w:cs="Calibri"/>
                <w:sz w:val="16"/>
                <w:szCs w:val="16"/>
                <w:lang w:val="en-GB"/>
              </w:rPr>
            </w:pPr>
            <w:bookmarkStart w:id="19" w:name="_Hlk161412443"/>
          </w:p>
        </w:tc>
        <w:tc>
          <w:tcPr>
            <w:tcW w:w="3737" w:type="dxa"/>
            <w:gridSpan w:val="4"/>
            <w:vMerge/>
            <w:tcBorders>
              <w:bottom w:val="single" w:sz="4" w:space="0" w:color="7F7F7F"/>
            </w:tcBorders>
            <w:vAlign w:val="center"/>
          </w:tcPr>
          <w:p w14:paraId="20FF642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p>
        </w:tc>
        <w:tc>
          <w:tcPr>
            <w:tcW w:w="1061" w:type="dxa"/>
            <w:gridSpan w:val="2"/>
            <w:tcBorders>
              <w:bottom w:val="single" w:sz="4" w:space="0" w:color="7F7F7F"/>
            </w:tcBorders>
            <w:vAlign w:val="center"/>
          </w:tcPr>
          <w:p w14:paraId="536C951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roofErr w:type="spellStart"/>
            <w:r w:rsidRPr="00704E49">
              <w:rPr>
                <w:rFonts w:ascii="Calibri" w:eastAsia="等线" w:hAnsi="Calibri" w:cs="Calibri"/>
                <w:sz w:val="16"/>
                <w:szCs w:val="16"/>
              </w:rPr>
              <w:t>Unshaped</w:t>
            </w:r>
            <w:proofErr w:type="spellEnd"/>
            <w:r w:rsidRPr="00704E49">
              <w:rPr>
                <w:rFonts w:ascii="Calibri" w:eastAsia="等线" w:hAnsi="Calibri" w:cs="Calibri"/>
                <w:sz w:val="16"/>
                <w:szCs w:val="16"/>
              </w:rPr>
              <w:t xml:space="preserve"> </w:t>
            </w:r>
            <w:proofErr w:type="spellStart"/>
            <w:r w:rsidRPr="00704E49">
              <w:rPr>
                <w:rFonts w:ascii="Calibri" w:eastAsia="等线" w:hAnsi="Calibri" w:cs="Calibri"/>
                <w:sz w:val="16"/>
                <w:szCs w:val="16"/>
              </w:rPr>
              <w:t>material</w:t>
            </w:r>
            <w:proofErr w:type="spellEnd"/>
          </w:p>
          <w:p w14:paraId="00B304C4" w14:textId="2665F492" w:rsidR="00CA5581" w:rsidRPr="00704E49" w:rsidRDefault="00CA5581"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roofErr w:type="gramStart"/>
            <w:r w:rsidRPr="00704E49">
              <w:rPr>
                <w:rFonts w:ascii="Calibri" w:eastAsia="等线" w:hAnsi="Calibri" w:cs="Calibri"/>
                <w:sz w:val="16"/>
                <w:szCs w:val="16"/>
              </w:rPr>
              <w:t>mg</w:t>
            </w:r>
            <w:proofErr w:type="gramEnd"/>
            <w:r w:rsidRPr="00704E49">
              <w:rPr>
                <w:rFonts w:ascii="Calibri" w:eastAsia="等线" w:hAnsi="Calibri" w:cs="Calibri"/>
                <w:sz w:val="16"/>
                <w:szCs w:val="16"/>
              </w:rPr>
              <w:t xml:space="preserve">/kg dry </w:t>
            </w:r>
            <w:proofErr w:type="spellStart"/>
            <w:r w:rsidRPr="00704E49">
              <w:rPr>
                <w:rFonts w:ascii="Calibri" w:eastAsia="等线" w:hAnsi="Calibri" w:cs="Calibri"/>
                <w:sz w:val="16"/>
                <w:szCs w:val="16"/>
              </w:rPr>
              <w:t>solid</w:t>
            </w:r>
            <w:proofErr w:type="spellEnd"/>
            <w:r w:rsidRPr="00704E49">
              <w:rPr>
                <w:rFonts w:ascii="Calibri" w:eastAsia="等线" w:hAnsi="Calibri" w:cs="Calibri"/>
                <w:sz w:val="16"/>
                <w:szCs w:val="16"/>
              </w:rPr>
              <w:t>)</w:t>
            </w:r>
          </w:p>
        </w:tc>
        <w:tc>
          <w:tcPr>
            <w:tcW w:w="1013" w:type="dxa"/>
            <w:tcBorders>
              <w:bottom w:val="single" w:sz="4" w:space="0" w:color="7F7F7F"/>
            </w:tcBorders>
            <w:vAlign w:val="center"/>
          </w:tcPr>
          <w:p w14:paraId="39DAF56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roofErr w:type="spellStart"/>
            <w:r w:rsidRPr="00704E49">
              <w:rPr>
                <w:rFonts w:ascii="Calibri" w:eastAsia="等线" w:hAnsi="Calibri" w:cs="Calibri"/>
                <w:sz w:val="16"/>
                <w:szCs w:val="16"/>
              </w:rPr>
              <w:t>Monolithic</w:t>
            </w:r>
            <w:proofErr w:type="spellEnd"/>
            <w:r w:rsidRPr="00704E49">
              <w:rPr>
                <w:rFonts w:ascii="Calibri" w:eastAsia="等线" w:hAnsi="Calibri" w:cs="Calibri"/>
                <w:sz w:val="16"/>
                <w:szCs w:val="16"/>
              </w:rPr>
              <w:t xml:space="preserve"> </w:t>
            </w:r>
            <w:proofErr w:type="spellStart"/>
            <w:r w:rsidRPr="00704E49">
              <w:rPr>
                <w:rFonts w:ascii="Calibri" w:eastAsia="等线" w:hAnsi="Calibri" w:cs="Calibri"/>
                <w:sz w:val="16"/>
                <w:szCs w:val="16"/>
              </w:rPr>
              <w:t>material</w:t>
            </w:r>
            <w:proofErr w:type="spellEnd"/>
          </w:p>
          <w:p w14:paraId="6ECA94B0" w14:textId="5AEF05D9" w:rsidR="00CA5581" w:rsidRPr="00704E49" w:rsidRDefault="00CA5581"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roofErr w:type="gramStart"/>
            <w:r w:rsidRPr="00704E49">
              <w:rPr>
                <w:rFonts w:ascii="Calibri" w:eastAsia="等线" w:hAnsi="Calibri" w:cs="Calibri"/>
                <w:sz w:val="16"/>
                <w:szCs w:val="16"/>
              </w:rPr>
              <w:t>mg</w:t>
            </w:r>
            <w:proofErr w:type="gramEnd"/>
            <w:r w:rsidRPr="00704E49">
              <w:rPr>
                <w:rFonts w:ascii="Calibri" w:eastAsia="等线" w:hAnsi="Calibri" w:cs="Calibri"/>
                <w:sz w:val="16"/>
                <w:szCs w:val="16"/>
              </w:rPr>
              <w:t>/m</w:t>
            </w:r>
            <w:r w:rsidRPr="00704E49">
              <w:rPr>
                <w:rFonts w:ascii="Calibri" w:eastAsia="等线" w:hAnsi="Calibri" w:cs="Calibri"/>
                <w:sz w:val="16"/>
                <w:szCs w:val="16"/>
                <w:vertAlign w:val="superscript"/>
              </w:rPr>
              <w:t>2</w:t>
            </w:r>
            <w:r w:rsidRPr="00704E49">
              <w:rPr>
                <w:rFonts w:ascii="Calibri" w:eastAsia="等线" w:hAnsi="Calibri" w:cs="Calibri"/>
                <w:sz w:val="16"/>
                <w:szCs w:val="16"/>
              </w:rPr>
              <w:t>)</w:t>
            </w:r>
          </w:p>
        </w:tc>
        <w:tc>
          <w:tcPr>
            <w:tcW w:w="1867" w:type="dxa"/>
            <w:tcBorders>
              <w:bottom w:val="single" w:sz="4" w:space="0" w:color="7F7F7F"/>
            </w:tcBorders>
            <w:vAlign w:val="center"/>
          </w:tcPr>
          <w:p w14:paraId="6CB71AB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In the area without protection regime according to the regulations of the waters</w:t>
            </w:r>
          </w:p>
        </w:tc>
        <w:tc>
          <w:tcPr>
            <w:tcW w:w="1468" w:type="dxa"/>
            <w:tcBorders>
              <w:bottom w:val="single" w:sz="4" w:space="0" w:color="7F7F7F"/>
            </w:tcBorders>
            <w:vAlign w:val="center"/>
          </w:tcPr>
          <w:p w14:paraId="478826A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p>
        </w:tc>
        <w:tc>
          <w:tcPr>
            <w:tcW w:w="1667" w:type="dxa"/>
            <w:tcBorders>
              <w:bottom w:val="single" w:sz="4" w:space="0" w:color="7F7F7F"/>
            </w:tcBorders>
            <w:vAlign w:val="center"/>
          </w:tcPr>
          <w:p w14:paraId="4D3FEEF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r w:rsidRPr="00704E49">
              <w:rPr>
                <w:rFonts w:ascii="Calibri" w:eastAsia="等线" w:hAnsi="Calibri" w:cs="Calibri"/>
                <w:sz w:val="16"/>
                <w:szCs w:val="16"/>
                <w:lang w:val="en-GB"/>
              </w:rPr>
              <w:t>Parameters and limit values for aggregates for unbound as well as for hydraulically or bituminous applications</w:t>
            </w:r>
          </w:p>
        </w:tc>
        <w:tc>
          <w:tcPr>
            <w:tcW w:w="1659" w:type="dxa"/>
            <w:tcBorders>
              <w:bottom w:val="single" w:sz="4" w:space="0" w:color="7F7F7F"/>
            </w:tcBorders>
            <w:vAlign w:val="center"/>
          </w:tcPr>
          <w:p w14:paraId="28BE93A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lang w:val="en-GB"/>
              </w:rPr>
            </w:pPr>
          </w:p>
        </w:tc>
      </w:tr>
      <w:bookmarkEnd w:id="19"/>
      <w:tr w:rsidR="00D76C75" w:rsidRPr="00704E49" w14:paraId="1D89F8C2" w14:textId="77777777" w:rsidTr="00AC0648">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1A44A285"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Antimony</w:t>
            </w:r>
            <w:proofErr w:type="spellEnd"/>
            <w:r w:rsidRPr="00704E49">
              <w:rPr>
                <w:rFonts w:ascii="Calibri" w:eastAsia="等线" w:hAnsi="Calibri" w:cs="Calibri" w:hint="eastAsia"/>
                <w:sz w:val="16"/>
                <w:szCs w:val="16"/>
              </w:rPr>
              <w:t xml:space="preserve"> </w:t>
            </w:r>
            <w:r w:rsidRPr="00704E49">
              <w:rPr>
                <w:rFonts w:ascii="Calibri" w:eastAsia="等线" w:hAnsi="Calibri" w:cs="Calibri"/>
                <w:sz w:val="16"/>
                <w:szCs w:val="16"/>
              </w:rPr>
              <w:t>(Sb)</w:t>
            </w:r>
          </w:p>
        </w:tc>
        <w:tc>
          <w:tcPr>
            <w:tcW w:w="992" w:type="dxa"/>
            <w:tcBorders>
              <w:top w:val="nil"/>
              <w:bottom w:val="nil"/>
            </w:tcBorders>
            <w:noWrap/>
            <w:vAlign w:val="center"/>
            <w:hideMark/>
          </w:tcPr>
          <w:p w14:paraId="561B962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7B5CBEE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301437C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12AC860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7F9E0E2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0.32</w:t>
            </w:r>
          </w:p>
        </w:tc>
        <w:tc>
          <w:tcPr>
            <w:tcW w:w="1061" w:type="dxa"/>
            <w:gridSpan w:val="2"/>
            <w:tcBorders>
              <w:top w:val="nil"/>
              <w:bottom w:val="nil"/>
            </w:tcBorders>
            <w:noWrap/>
            <w:vAlign w:val="center"/>
            <w:hideMark/>
          </w:tcPr>
          <w:p w14:paraId="6D930CE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8.7</w:t>
            </w:r>
          </w:p>
        </w:tc>
        <w:tc>
          <w:tcPr>
            <w:tcW w:w="1867" w:type="dxa"/>
            <w:tcBorders>
              <w:top w:val="nil"/>
              <w:bottom w:val="nil"/>
            </w:tcBorders>
            <w:vAlign w:val="center"/>
          </w:tcPr>
          <w:p w14:paraId="3D6295B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
        </w:tc>
        <w:tc>
          <w:tcPr>
            <w:tcW w:w="1468" w:type="dxa"/>
            <w:tcBorders>
              <w:top w:val="nil"/>
              <w:bottom w:val="nil"/>
            </w:tcBorders>
            <w:vAlign w:val="center"/>
          </w:tcPr>
          <w:p w14:paraId="0A16764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1667" w:type="dxa"/>
            <w:tcBorders>
              <w:top w:val="nil"/>
              <w:bottom w:val="nil"/>
            </w:tcBorders>
            <w:vAlign w:val="center"/>
          </w:tcPr>
          <w:p w14:paraId="1AC56C9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22E3F06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r>
      <w:tr w:rsidR="00D76C75" w:rsidRPr="00704E49" w14:paraId="5785FBD9"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vAlign w:val="center"/>
            <w:hideMark/>
          </w:tcPr>
          <w:p w14:paraId="5118E871"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Arsenic</w:t>
            </w:r>
            <w:proofErr w:type="spellEnd"/>
            <w:r w:rsidRPr="00704E49">
              <w:rPr>
                <w:rFonts w:ascii="Calibri" w:eastAsia="等线" w:hAnsi="Calibri" w:cs="Calibri"/>
                <w:sz w:val="16"/>
                <w:szCs w:val="16"/>
              </w:rPr>
              <w:t xml:space="preserve"> (As)</w:t>
            </w:r>
          </w:p>
        </w:tc>
        <w:tc>
          <w:tcPr>
            <w:tcW w:w="992" w:type="dxa"/>
            <w:tcBorders>
              <w:top w:val="nil"/>
              <w:bottom w:val="nil"/>
            </w:tcBorders>
            <w:noWrap/>
            <w:vAlign w:val="center"/>
            <w:hideMark/>
          </w:tcPr>
          <w:p w14:paraId="439A1935" w14:textId="07FCE49A" w:rsidR="00D76C75" w:rsidRPr="00704E49" w:rsidRDefault="00DD0AED"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25" w:type="dxa"/>
            <w:tcBorders>
              <w:top w:val="nil"/>
              <w:bottom w:val="nil"/>
            </w:tcBorders>
            <w:vAlign w:val="center"/>
          </w:tcPr>
          <w:p w14:paraId="09C5DE26"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0.4</w:t>
            </w:r>
          </w:p>
        </w:tc>
        <w:tc>
          <w:tcPr>
            <w:tcW w:w="861" w:type="dxa"/>
            <w:tcBorders>
              <w:top w:val="nil"/>
              <w:bottom w:val="nil"/>
            </w:tcBorders>
            <w:noWrap/>
            <w:vAlign w:val="center"/>
            <w:hideMark/>
          </w:tcPr>
          <w:p w14:paraId="06E80DC2" w14:textId="5D864486" w:rsidR="00D76C75" w:rsidRPr="00704E49" w:rsidRDefault="00DD0AED"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59" w:type="dxa"/>
            <w:tcBorders>
              <w:top w:val="nil"/>
              <w:bottom w:val="nil"/>
            </w:tcBorders>
            <w:noWrap/>
            <w:vAlign w:val="center"/>
            <w:hideMark/>
          </w:tcPr>
          <w:p w14:paraId="0F647690" w14:textId="271E368E" w:rsidR="00D76C75" w:rsidRPr="00704E49" w:rsidRDefault="00DD0AED"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1013" w:type="dxa"/>
            <w:tcBorders>
              <w:top w:val="nil"/>
              <w:bottom w:val="nil"/>
            </w:tcBorders>
            <w:noWrap/>
            <w:vAlign w:val="center"/>
            <w:hideMark/>
          </w:tcPr>
          <w:p w14:paraId="1C2536C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0.9</w:t>
            </w:r>
          </w:p>
        </w:tc>
        <w:tc>
          <w:tcPr>
            <w:tcW w:w="1061" w:type="dxa"/>
            <w:gridSpan w:val="2"/>
            <w:tcBorders>
              <w:top w:val="nil"/>
              <w:bottom w:val="nil"/>
            </w:tcBorders>
            <w:noWrap/>
            <w:vAlign w:val="center"/>
            <w:hideMark/>
          </w:tcPr>
          <w:p w14:paraId="5AB40AB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260</w:t>
            </w:r>
          </w:p>
        </w:tc>
        <w:tc>
          <w:tcPr>
            <w:tcW w:w="1867" w:type="dxa"/>
            <w:tcBorders>
              <w:top w:val="nil"/>
              <w:bottom w:val="nil"/>
            </w:tcBorders>
            <w:vAlign w:val="center"/>
          </w:tcPr>
          <w:p w14:paraId="480B3FA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0.1</w:t>
            </w:r>
          </w:p>
        </w:tc>
        <w:tc>
          <w:tcPr>
            <w:tcW w:w="1468" w:type="dxa"/>
            <w:tcBorders>
              <w:top w:val="nil"/>
              <w:bottom w:val="nil"/>
            </w:tcBorders>
            <w:vAlign w:val="center"/>
          </w:tcPr>
          <w:p w14:paraId="7295E69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0.8</w:t>
            </w:r>
          </w:p>
        </w:tc>
        <w:tc>
          <w:tcPr>
            <w:tcW w:w="1667" w:type="dxa"/>
            <w:tcBorders>
              <w:top w:val="nil"/>
              <w:bottom w:val="nil"/>
            </w:tcBorders>
            <w:vAlign w:val="center"/>
          </w:tcPr>
          <w:p w14:paraId="7BBB675F"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5F799CE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0.10</w:t>
            </w:r>
          </w:p>
        </w:tc>
      </w:tr>
      <w:tr w:rsidR="00D76C75" w:rsidRPr="00704E49" w14:paraId="30BECFD4"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4A1BA62C"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Barium (Ba)</w:t>
            </w:r>
          </w:p>
        </w:tc>
        <w:tc>
          <w:tcPr>
            <w:tcW w:w="992" w:type="dxa"/>
            <w:tcBorders>
              <w:top w:val="nil"/>
              <w:bottom w:val="nil"/>
            </w:tcBorders>
            <w:noWrap/>
            <w:vAlign w:val="center"/>
            <w:hideMark/>
          </w:tcPr>
          <w:p w14:paraId="21C2C6D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925" w:type="dxa"/>
            <w:tcBorders>
              <w:top w:val="nil"/>
              <w:bottom w:val="nil"/>
            </w:tcBorders>
            <w:vAlign w:val="center"/>
          </w:tcPr>
          <w:p w14:paraId="4854072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10</w:t>
            </w:r>
          </w:p>
        </w:tc>
        <w:tc>
          <w:tcPr>
            <w:tcW w:w="861" w:type="dxa"/>
            <w:tcBorders>
              <w:top w:val="nil"/>
              <w:bottom w:val="nil"/>
            </w:tcBorders>
            <w:noWrap/>
            <w:vAlign w:val="center"/>
            <w:hideMark/>
          </w:tcPr>
          <w:p w14:paraId="5AA3D24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959" w:type="dxa"/>
            <w:tcBorders>
              <w:top w:val="nil"/>
              <w:bottom w:val="nil"/>
            </w:tcBorders>
            <w:noWrap/>
            <w:vAlign w:val="center"/>
            <w:hideMark/>
          </w:tcPr>
          <w:p w14:paraId="59C645C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1013" w:type="dxa"/>
            <w:tcBorders>
              <w:top w:val="nil"/>
              <w:bottom w:val="nil"/>
            </w:tcBorders>
            <w:noWrap/>
            <w:vAlign w:val="center"/>
            <w:hideMark/>
          </w:tcPr>
          <w:p w14:paraId="266FE3A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22</w:t>
            </w:r>
          </w:p>
        </w:tc>
        <w:tc>
          <w:tcPr>
            <w:tcW w:w="1061" w:type="dxa"/>
            <w:gridSpan w:val="2"/>
            <w:tcBorders>
              <w:top w:val="nil"/>
              <w:bottom w:val="nil"/>
            </w:tcBorders>
            <w:noWrap/>
            <w:vAlign w:val="center"/>
            <w:hideMark/>
          </w:tcPr>
          <w:p w14:paraId="2D7D108D" w14:textId="138302AD"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15</w:t>
            </w:r>
            <w:r w:rsidR="00CA5581" w:rsidRPr="00704E49">
              <w:rPr>
                <w:rFonts w:ascii="Calibri" w:eastAsia="等线" w:hAnsi="Calibri" w:cs="Calibri"/>
                <w:sz w:val="16"/>
                <w:szCs w:val="16"/>
              </w:rPr>
              <w:t>000</w:t>
            </w:r>
          </w:p>
        </w:tc>
        <w:tc>
          <w:tcPr>
            <w:tcW w:w="1867" w:type="dxa"/>
            <w:tcBorders>
              <w:top w:val="nil"/>
              <w:bottom w:val="nil"/>
            </w:tcBorders>
            <w:vAlign w:val="center"/>
          </w:tcPr>
          <w:p w14:paraId="31F0C25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20</w:t>
            </w:r>
          </w:p>
        </w:tc>
        <w:tc>
          <w:tcPr>
            <w:tcW w:w="1468" w:type="dxa"/>
            <w:tcBorders>
              <w:top w:val="nil"/>
              <w:bottom w:val="nil"/>
            </w:tcBorders>
            <w:vAlign w:val="center"/>
          </w:tcPr>
          <w:p w14:paraId="7C5D857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20</w:t>
            </w:r>
          </w:p>
        </w:tc>
        <w:tc>
          <w:tcPr>
            <w:tcW w:w="1667" w:type="dxa"/>
            <w:tcBorders>
              <w:top w:val="nil"/>
              <w:bottom w:val="nil"/>
            </w:tcBorders>
            <w:vAlign w:val="center"/>
          </w:tcPr>
          <w:p w14:paraId="2AD6D11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0E215B7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8.0</w:t>
            </w:r>
          </w:p>
        </w:tc>
      </w:tr>
      <w:tr w:rsidR="00D76C75" w:rsidRPr="00704E49" w14:paraId="7834E1B8"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2337CB90"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Cadmium (Cd)</w:t>
            </w:r>
          </w:p>
        </w:tc>
        <w:tc>
          <w:tcPr>
            <w:tcW w:w="992" w:type="dxa"/>
            <w:tcBorders>
              <w:top w:val="nil"/>
              <w:bottom w:val="nil"/>
            </w:tcBorders>
            <w:noWrap/>
            <w:vAlign w:val="center"/>
            <w:hideMark/>
          </w:tcPr>
          <w:p w14:paraId="2E891B1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925" w:type="dxa"/>
            <w:tcBorders>
              <w:top w:val="nil"/>
              <w:bottom w:val="nil"/>
            </w:tcBorders>
            <w:vAlign w:val="center"/>
          </w:tcPr>
          <w:p w14:paraId="5CE1420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0.8</w:t>
            </w:r>
          </w:p>
        </w:tc>
        <w:tc>
          <w:tcPr>
            <w:tcW w:w="861" w:type="dxa"/>
            <w:tcBorders>
              <w:top w:val="nil"/>
              <w:bottom w:val="nil"/>
            </w:tcBorders>
            <w:noWrap/>
            <w:vAlign w:val="center"/>
            <w:hideMark/>
          </w:tcPr>
          <w:p w14:paraId="48AE1BD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959" w:type="dxa"/>
            <w:tcBorders>
              <w:top w:val="nil"/>
              <w:bottom w:val="nil"/>
            </w:tcBorders>
            <w:noWrap/>
            <w:vAlign w:val="center"/>
            <w:hideMark/>
          </w:tcPr>
          <w:p w14:paraId="5A6F147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1013" w:type="dxa"/>
            <w:tcBorders>
              <w:top w:val="nil"/>
              <w:bottom w:val="nil"/>
            </w:tcBorders>
            <w:noWrap/>
            <w:vAlign w:val="center"/>
            <w:hideMark/>
          </w:tcPr>
          <w:p w14:paraId="72721C9B"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0.04</w:t>
            </w:r>
          </w:p>
        </w:tc>
        <w:tc>
          <w:tcPr>
            <w:tcW w:w="1061" w:type="dxa"/>
            <w:gridSpan w:val="2"/>
            <w:tcBorders>
              <w:top w:val="nil"/>
              <w:bottom w:val="nil"/>
            </w:tcBorders>
            <w:noWrap/>
            <w:vAlign w:val="center"/>
            <w:hideMark/>
          </w:tcPr>
          <w:p w14:paraId="1EC069A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3.8</w:t>
            </w:r>
          </w:p>
        </w:tc>
        <w:tc>
          <w:tcPr>
            <w:tcW w:w="1867" w:type="dxa"/>
            <w:tcBorders>
              <w:top w:val="nil"/>
              <w:bottom w:val="nil"/>
            </w:tcBorders>
            <w:vAlign w:val="center"/>
          </w:tcPr>
          <w:p w14:paraId="56A23BE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0.025</w:t>
            </w:r>
          </w:p>
        </w:tc>
        <w:tc>
          <w:tcPr>
            <w:tcW w:w="1468" w:type="dxa"/>
            <w:tcBorders>
              <w:top w:val="nil"/>
              <w:bottom w:val="nil"/>
            </w:tcBorders>
            <w:vAlign w:val="center"/>
          </w:tcPr>
          <w:p w14:paraId="28E1000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0.03</w:t>
            </w:r>
          </w:p>
        </w:tc>
        <w:tc>
          <w:tcPr>
            <w:tcW w:w="1667" w:type="dxa"/>
            <w:tcBorders>
              <w:top w:val="nil"/>
              <w:bottom w:val="nil"/>
            </w:tcBorders>
            <w:vAlign w:val="center"/>
          </w:tcPr>
          <w:p w14:paraId="5ACA269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18365A5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0.080</w:t>
            </w:r>
          </w:p>
        </w:tc>
      </w:tr>
      <w:tr w:rsidR="00D76C75" w:rsidRPr="00704E49" w14:paraId="19FB8CE9"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1FC4446F"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Chromium (Cr)</w:t>
            </w:r>
          </w:p>
        </w:tc>
        <w:tc>
          <w:tcPr>
            <w:tcW w:w="992" w:type="dxa"/>
            <w:tcBorders>
              <w:top w:val="nil"/>
              <w:bottom w:val="nil"/>
            </w:tcBorders>
            <w:noWrap/>
            <w:vAlign w:val="center"/>
            <w:hideMark/>
          </w:tcPr>
          <w:p w14:paraId="4782221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15</w:t>
            </w:r>
          </w:p>
        </w:tc>
        <w:tc>
          <w:tcPr>
            <w:tcW w:w="925" w:type="dxa"/>
            <w:tcBorders>
              <w:top w:val="nil"/>
              <w:bottom w:val="nil"/>
            </w:tcBorders>
            <w:vAlign w:val="center"/>
          </w:tcPr>
          <w:p w14:paraId="6662253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4</w:t>
            </w:r>
          </w:p>
        </w:tc>
        <w:tc>
          <w:tcPr>
            <w:tcW w:w="861" w:type="dxa"/>
            <w:tcBorders>
              <w:top w:val="nil"/>
              <w:bottom w:val="nil"/>
            </w:tcBorders>
            <w:noWrap/>
            <w:vAlign w:val="center"/>
            <w:hideMark/>
          </w:tcPr>
          <w:p w14:paraId="5E3B9C6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59" w:type="dxa"/>
            <w:tcBorders>
              <w:top w:val="nil"/>
              <w:bottom w:val="nil"/>
            </w:tcBorders>
            <w:noWrap/>
            <w:vAlign w:val="center"/>
            <w:hideMark/>
          </w:tcPr>
          <w:p w14:paraId="2FEC164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1013" w:type="dxa"/>
            <w:tcBorders>
              <w:top w:val="nil"/>
              <w:bottom w:val="nil"/>
            </w:tcBorders>
            <w:noWrap/>
            <w:vAlign w:val="center"/>
            <w:hideMark/>
          </w:tcPr>
          <w:p w14:paraId="0F205D9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0.63</w:t>
            </w:r>
          </w:p>
        </w:tc>
        <w:tc>
          <w:tcPr>
            <w:tcW w:w="1061" w:type="dxa"/>
            <w:gridSpan w:val="2"/>
            <w:tcBorders>
              <w:top w:val="nil"/>
              <w:bottom w:val="nil"/>
            </w:tcBorders>
            <w:noWrap/>
            <w:vAlign w:val="center"/>
            <w:hideMark/>
          </w:tcPr>
          <w:p w14:paraId="67B4417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120</w:t>
            </w:r>
          </w:p>
        </w:tc>
        <w:tc>
          <w:tcPr>
            <w:tcW w:w="1867" w:type="dxa"/>
            <w:tcBorders>
              <w:top w:val="nil"/>
              <w:bottom w:val="nil"/>
            </w:tcBorders>
            <w:vAlign w:val="center"/>
          </w:tcPr>
          <w:p w14:paraId="0940BF5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 (</w:t>
            </w:r>
            <w:proofErr w:type="spellStart"/>
            <w:r w:rsidRPr="00704E49">
              <w:rPr>
                <w:rFonts w:ascii="Calibri" w:eastAsia="等线" w:hAnsi="Calibri" w:cs="Calibri"/>
                <w:sz w:val="16"/>
                <w:szCs w:val="16"/>
              </w:rPr>
              <w:t>total</w:t>
            </w:r>
            <w:proofErr w:type="spellEnd"/>
            <w:r w:rsidRPr="00704E49">
              <w:rPr>
                <w:rFonts w:ascii="Calibri" w:eastAsia="等线" w:hAnsi="Calibri" w:cs="Calibri"/>
                <w:sz w:val="16"/>
                <w:szCs w:val="16"/>
              </w:rPr>
              <w:t xml:space="preserve"> Cr), 0.1 </w:t>
            </w:r>
            <w:proofErr w:type="gramStart"/>
            <w:r w:rsidRPr="00704E49">
              <w:rPr>
                <w:rFonts w:ascii="Calibri" w:eastAsia="等线" w:hAnsi="Calibri" w:cs="Calibri"/>
                <w:sz w:val="16"/>
                <w:szCs w:val="16"/>
              </w:rPr>
              <w:t>Cr(</w:t>
            </w:r>
            <w:proofErr w:type="gramEnd"/>
            <w:r w:rsidRPr="00704E49">
              <w:rPr>
                <w:rFonts w:ascii="Calibri" w:eastAsia="等线" w:hAnsi="Calibri" w:cs="Calibri"/>
                <w:sz w:val="16"/>
                <w:szCs w:val="16"/>
              </w:rPr>
              <w:t>VI)</w:t>
            </w:r>
          </w:p>
        </w:tc>
        <w:tc>
          <w:tcPr>
            <w:tcW w:w="1468" w:type="dxa"/>
            <w:tcBorders>
              <w:top w:val="nil"/>
              <w:bottom w:val="nil"/>
            </w:tcBorders>
            <w:vAlign w:val="center"/>
          </w:tcPr>
          <w:p w14:paraId="13F8195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2.6</w:t>
            </w:r>
          </w:p>
        </w:tc>
        <w:tc>
          <w:tcPr>
            <w:tcW w:w="1667" w:type="dxa"/>
            <w:tcBorders>
              <w:top w:val="nil"/>
              <w:bottom w:val="nil"/>
            </w:tcBorders>
            <w:vAlign w:val="center"/>
          </w:tcPr>
          <w:p w14:paraId="2FEFBCD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0.6</w:t>
            </w:r>
          </w:p>
        </w:tc>
        <w:tc>
          <w:tcPr>
            <w:tcW w:w="1659" w:type="dxa"/>
            <w:tcBorders>
              <w:top w:val="nil"/>
              <w:bottom w:val="nil"/>
            </w:tcBorders>
            <w:vAlign w:val="center"/>
          </w:tcPr>
          <w:p w14:paraId="1B2C9FC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w:t>
            </w:r>
          </w:p>
        </w:tc>
      </w:tr>
      <w:tr w:rsidR="00D76C75" w:rsidRPr="00704E49" w14:paraId="5C89C364"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vAlign w:val="center"/>
            <w:hideMark/>
          </w:tcPr>
          <w:p w14:paraId="62598FC6"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Cobalt</w:t>
            </w:r>
            <w:proofErr w:type="spellEnd"/>
            <w:r w:rsidRPr="00704E49">
              <w:rPr>
                <w:rFonts w:ascii="Calibri" w:eastAsia="等线" w:hAnsi="Calibri" w:cs="Calibri"/>
                <w:sz w:val="16"/>
                <w:szCs w:val="16"/>
              </w:rPr>
              <w:t xml:space="preserve"> (Co)</w:t>
            </w:r>
          </w:p>
        </w:tc>
        <w:tc>
          <w:tcPr>
            <w:tcW w:w="992" w:type="dxa"/>
            <w:tcBorders>
              <w:top w:val="nil"/>
              <w:bottom w:val="nil"/>
            </w:tcBorders>
            <w:noWrap/>
            <w:vAlign w:val="center"/>
            <w:hideMark/>
          </w:tcPr>
          <w:p w14:paraId="20ED839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52DCDC9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7E0860C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22769CA6"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3B644FA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0.54</w:t>
            </w:r>
          </w:p>
        </w:tc>
        <w:tc>
          <w:tcPr>
            <w:tcW w:w="1061" w:type="dxa"/>
            <w:gridSpan w:val="2"/>
            <w:tcBorders>
              <w:top w:val="nil"/>
              <w:bottom w:val="nil"/>
            </w:tcBorders>
            <w:noWrap/>
            <w:vAlign w:val="center"/>
            <w:hideMark/>
          </w:tcPr>
          <w:p w14:paraId="125111E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60</w:t>
            </w:r>
          </w:p>
        </w:tc>
        <w:tc>
          <w:tcPr>
            <w:tcW w:w="1867" w:type="dxa"/>
            <w:tcBorders>
              <w:top w:val="nil"/>
              <w:bottom w:val="nil"/>
            </w:tcBorders>
            <w:vAlign w:val="center"/>
          </w:tcPr>
          <w:p w14:paraId="4B28F9B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 xml:space="preserve">0.03 </w:t>
            </w:r>
          </w:p>
        </w:tc>
        <w:tc>
          <w:tcPr>
            <w:tcW w:w="1468" w:type="dxa"/>
            <w:tcBorders>
              <w:top w:val="nil"/>
              <w:bottom w:val="nil"/>
            </w:tcBorders>
            <w:vAlign w:val="center"/>
          </w:tcPr>
          <w:p w14:paraId="7E01257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w:t>
            </w:r>
          </w:p>
        </w:tc>
        <w:tc>
          <w:tcPr>
            <w:tcW w:w="1667" w:type="dxa"/>
            <w:tcBorders>
              <w:top w:val="nil"/>
              <w:bottom w:val="nil"/>
            </w:tcBorders>
            <w:vAlign w:val="center"/>
          </w:tcPr>
          <w:p w14:paraId="0D083336"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0EA1496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33B83084"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2C19BE67"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Copper</w:t>
            </w:r>
            <w:proofErr w:type="spellEnd"/>
            <w:r w:rsidRPr="00704E49">
              <w:rPr>
                <w:rFonts w:ascii="Calibri" w:eastAsia="等线" w:hAnsi="Calibri" w:cs="Calibri"/>
                <w:sz w:val="16"/>
                <w:szCs w:val="16"/>
              </w:rPr>
              <w:t xml:space="preserve"> (Cu)</w:t>
            </w:r>
          </w:p>
        </w:tc>
        <w:tc>
          <w:tcPr>
            <w:tcW w:w="992" w:type="dxa"/>
            <w:tcBorders>
              <w:top w:val="nil"/>
              <w:bottom w:val="nil"/>
            </w:tcBorders>
            <w:noWrap/>
            <w:vAlign w:val="center"/>
            <w:hideMark/>
          </w:tcPr>
          <w:p w14:paraId="72AA3E8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925" w:type="dxa"/>
            <w:tcBorders>
              <w:top w:val="nil"/>
              <w:bottom w:val="nil"/>
            </w:tcBorders>
            <w:vAlign w:val="center"/>
          </w:tcPr>
          <w:p w14:paraId="082E657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12</w:t>
            </w:r>
          </w:p>
        </w:tc>
        <w:tc>
          <w:tcPr>
            <w:tcW w:w="861" w:type="dxa"/>
            <w:tcBorders>
              <w:top w:val="nil"/>
              <w:bottom w:val="nil"/>
            </w:tcBorders>
            <w:noWrap/>
            <w:vAlign w:val="center"/>
            <w:hideMark/>
          </w:tcPr>
          <w:p w14:paraId="76F8442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2D5B5A8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1013" w:type="dxa"/>
            <w:tcBorders>
              <w:top w:val="nil"/>
              <w:bottom w:val="nil"/>
            </w:tcBorders>
            <w:noWrap/>
            <w:vAlign w:val="center"/>
            <w:hideMark/>
          </w:tcPr>
          <w:p w14:paraId="24AD605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0.9</w:t>
            </w:r>
          </w:p>
        </w:tc>
        <w:tc>
          <w:tcPr>
            <w:tcW w:w="1061" w:type="dxa"/>
            <w:gridSpan w:val="2"/>
            <w:tcBorders>
              <w:top w:val="nil"/>
              <w:bottom w:val="nil"/>
            </w:tcBorders>
            <w:noWrap/>
            <w:vAlign w:val="center"/>
            <w:hideMark/>
          </w:tcPr>
          <w:p w14:paraId="2A5594E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98</w:t>
            </w:r>
          </w:p>
        </w:tc>
        <w:tc>
          <w:tcPr>
            <w:tcW w:w="1867" w:type="dxa"/>
            <w:tcBorders>
              <w:top w:val="nil"/>
              <w:bottom w:val="nil"/>
            </w:tcBorders>
            <w:vAlign w:val="center"/>
          </w:tcPr>
          <w:p w14:paraId="303EAE6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w:t>
            </w:r>
          </w:p>
        </w:tc>
        <w:tc>
          <w:tcPr>
            <w:tcW w:w="1468" w:type="dxa"/>
            <w:tcBorders>
              <w:top w:val="nil"/>
              <w:bottom w:val="nil"/>
            </w:tcBorders>
            <w:vAlign w:val="center"/>
          </w:tcPr>
          <w:p w14:paraId="6FB54D4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0.8</w:t>
            </w:r>
          </w:p>
        </w:tc>
        <w:tc>
          <w:tcPr>
            <w:tcW w:w="1667" w:type="dxa"/>
            <w:tcBorders>
              <w:top w:val="nil"/>
              <w:bottom w:val="nil"/>
            </w:tcBorders>
            <w:vAlign w:val="center"/>
          </w:tcPr>
          <w:p w14:paraId="19628EE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w:t>
            </w:r>
          </w:p>
        </w:tc>
        <w:tc>
          <w:tcPr>
            <w:tcW w:w="1659" w:type="dxa"/>
            <w:tcBorders>
              <w:top w:val="nil"/>
              <w:bottom w:val="nil"/>
            </w:tcBorders>
            <w:vAlign w:val="center"/>
          </w:tcPr>
          <w:p w14:paraId="75114CB2"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4.0</w:t>
            </w:r>
          </w:p>
        </w:tc>
      </w:tr>
      <w:tr w:rsidR="00D76C75" w:rsidRPr="00704E49" w14:paraId="70AD2381"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3C2A0880"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Mercury</w:t>
            </w:r>
            <w:proofErr w:type="spellEnd"/>
            <w:r w:rsidRPr="00704E49">
              <w:rPr>
                <w:rFonts w:ascii="Calibri" w:eastAsia="等线" w:hAnsi="Calibri" w:cs="Calibri"/>
                <w:sz w:val="16"/>
                <w:szCs w:val="16"/>
              </w:rPr>
              <w:t xml:space="preserve"> (Hg)</w:t>
            </w:r>
          </w:p>
        </w:tc>
        <w:tc>
          <w:tcPr>
            <w:tcW w:w="992" w:type="dxa"/>
            <w:tcBorders>
              <w:top w:val="nil"/>
              <w:bottom w:val="nil"/>
            </w:tcBorders>
            <w:noWrap/>
            <w:vAlign w:val="center"/>
            <w:hideMark/>
          </w:tcPr>
          <w:p w14:paraId="3394FA75"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755919D1"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0.016</w:t>
            </w:r>
          </w:p>
        </w:tc>
        <w:tc>
          <w:tcPr>
            <w:tcW w:w="861" w:type="dxa"/>
            <w:tcBorders>
              <w:top w:val="nil"/>
              <w:bottom w:val="nil"/>
            </w:tcBorders>
            <w:noWrap/>
            <w:vAlign w:val="center"/>
            <w:hideMark/>
          </w:tcPr>
          <w:p w14:paraId="7640536B"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0.2</w:t>
            </w:r>
          </w:p>
        </w:tc>
        <w:tc>
          <w:tcPr>
            <w:tcW w:w="959" w:type="dxa"/>
            <w:tcBorders>
              <w:top w:val="nil"/>
              <w:bottom w:val="nil"/>
            </w:tcBorders>
            <w:noWrap/>
            <w:vAlign w:val="center"/>
            <w:hideMark/>
          </w:tcPr>
          <w:p w14:paraId="1CCD30A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0.2</w:t>
            </w:r>
          </w:p>
        </w:tc>
        <w:tc>
          <w:tcPr>
            <w:tcW w:w="1013" w:type="dxa"/>
            <w:tcBorders>
              <w:top w:val="nil"/>
              <w:bottom w:val="nil"/>
            </w:tcBorders>
            <w:noWrap/>
            <w:vAlign w:val="center"/>
            <w:hideMark/>
          </w:tcPr>
          <w:p w14:paraId="06D1199E" w14:textId="00A3C6A3" w:rsidR="00D76C75" w:rsidRPr="00704E49" w:rsidRDefault="00CA5581"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0.02</w:t>
            </w:r>
          </w:p>
        </w:tc>
        <w:tc>
          <w:tcPr>
            <w:tcW w:w="1061" w:type="dxa"/>
            <w:gridSpan w:val="2"/>
            <w:tcBorders>
              <w:top w:val="nil"/>
              <w:bottom w:val="nil"/>
            </w:tcBorders>
            <w:noWrap/>
            <w:vAlign w:val="center"/>
            <w:hideMark/>
          </w:tcPr>
          <w:p w14:paraId="1ED081C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1.4</w:t>
            </w:r>
          </w:p>
        </w:tc>
        <w:tc>
          <w:tcPr>
            <w:tcW w:w="1867" w:type="dxa"/>
            <w:tcBorders>
              <w:top w:val="nil"/>
              <w:bottom w:val="nil"/>
            </w:tcBorders>
            <w:vAlign w:val="center"/>
          </w:tcPr>
          <w:p w14:paraId="400FEF7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0.005</w:t>
            </w:r>
          </w:p>
        </w:tc>
        <w:tc>
          <w:tcPr>
            <w:tcW w:w="1468" w:type="dxa"/>
            <w:tcBorders>
              <w:top w:val="nil"/>
              <w:bottom w:val="nil"/>
            </w:tcBorders>
            <w:vAlign w:val="center"/>
          </w:tcPr>
          <w:p w14:paraId="3E633E5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0.02</w:t>
            </w:r>
          </w:p>
        </w:tc>
        <w:tc>
          <w:tcPr>
            <w:tcW w:w="1667" w:type="dxa"/>
            <w:tcBorders>
              <w:top w:val="nil"/>
              <w:bottom w:val="nil"/>
            </w:tcBorders>
            <w:vAlign w:val="center"/>
          </w:tcPr>
          <w:p w14:paraId="005C593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71D76E3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0.002</w:t>
            </w:r>
          </w:p>
        </w:tc>
      </w:tr>
      <w:tr w:rsidR="00D76C75" w:rsidRPr="00704E49" w14:paraId="3FDA7022"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3D37F224"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lastRenderedPageBreak/>
              <w:t>Lead (Pb)</w:t>
            </w:r>
          </w:p>
        </w:tc>
        <w:tc>
          <w:tcPr>
            <w:tcW w:w="992" w:type="dxa"/>
            <w:tcBorders>
              <w:top w:val="nil"/>
              <w:bottom w:val="nil"/>
            </w:tcBorders>
            <w:noWrap/>
            <w:vAlign w:val="center"/>
            <w:hideMark/>
          </w:tcPr>
          <w:p w14:paraId="265126A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25" w:type="dxa"/>
            <w:tcBorders>
              <w:top w:val="nil"/>
              <w:bottom w:val="nil"/>
            </w:tcBorders>
            <w:vAlign w:val="center"/>
          </w:tcPr>
          <w:p w14:paraId="124554E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4</w:t>
            </w:r>
          </w:p>
        </w:tc>
        <w:tc>
          <w:tcPr>
            <w:tcW w:w="861" w:type="dxa"/>
            <w:tcBorders>
              <w:top w:val="nil"/>
              <w:bottom w:val="nil"/>
            </w:tcBorders>
            <w:noWrap/>
            <w:vAlign w:val="center"/>
            <w:hideMark/>
          </w:tcPr>
          <w:p w14:paraId="08D7C3A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59" w:type="dxa"/>
            <w:tcBorders>
              <w:top w:val="nil"/>
              <w:bottom w:val="nil"/>
            </w:tcBorders>
            <w:noWrap/>
            <w:vAlign w:val="center"/>
            <w:hideMark/>
          </w:tcPr>
          <w:p w14:paraId="587A3A1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1013" w:type="dxa"/>
            <w:tcBorders>
              <w:top w:val="nil"/>
              <w:bottom w:val="nil"/>
            </w:tcBorders>
            <w:noWrap/>
            <w:vAlign w:val="center"/>
            <w:hideMark/>
          </w:tcPr>
          <w:p w14:paraId="6414067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2.3</w:t>
            </w:r>
          </w:p>
        </w:tc>
        <w:tc>
          <w:tcPr>
            <w:tcW w:w="1061" w:type="dxa"/>
            <w:gridSpan w:val="2"/>
            <w:tcBorders>
              <w:top w:val="nil"/>
              <w:bottom w:val="nil"/>
            </w:tcBorders>
            <w:noWrap/>
            <w:vAlign w:val="center"/>
            <w:hideMark/>
          </w:tcPr>
          <w:p w14:paraId="6F49935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400</w:t>
            </w:r>
          </w:p>
        </w:tc>
        <w:tc>
          <w:tcPr>
            <w:tcW w:w="1867" w:type="dxa"/>
            <w:tcBorders>
              <w:top w:val="nil"/>
              <w:bottom w:val="nil"/>
            </w:tcBorders>
            <w:vAlign w:val="center"/>
          </w:tcPr>
          <w:p w14:paraId="74A7728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w:t>
            </w:r>
          </w:p>
        </w:tc>
        <w:tc>
          <w:tcPr>
            <w:tcW w:w="1468" w:type="dxa"/>
            <w:tcBorders>
              <w:top w:val="nil"/>
              <w:bottom w:val="nil"/>
            </w:tcBorders>
            <w:vAlign w:val="center"/>
          </w:tcPr>
          <w:p w14:paraId="56E2CA1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1.3</w:t>
            </w:r>
          </w:p>
        </w:tc>
        <w:tc>
          <w:tcPr>
            <w:tcW w:w="1667" w:type="dxa"/>
            <w:tcBorders>
              <w:top w:val="nil"/>
              <w:bottom w:val="nil"/>
            </w:tcBorders>
            <w:vAlign w:val="center"/>
          </w:tcPr>
          <w:p w14:paraId="556EBA3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13EB2AE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0.20</w:t>
            </w:r>
          </w:p>
        </w:tc>
      </w:tr>
      <w:tr w:rsidR="00D76C75" w:rsidRPr="00704E49" w14:paraId="574A1379"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3A0C9E5F"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Molybdenum (Mo)</w:t>
            </w:r>
          </w:p>
        </w:tc>
        <w:tc>
          <w:tcPr>
            <w:tcW w:w="992" w:type="dxa"/>
            <w:tcBorders>
              <w:top w:val="nil"/>
              <w:bottom w:val="nil"/>
            </w:tcBorders>
            <w:noWrap/>
            <w:vAlign w:val="center"/>
            <w:hideMark/>
          </w:tcPr>
          <w:p w14:paraId="11246A1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3D05F9E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2951B43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3E7B87E2"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2418C42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1061" w:type="dxa"/>
            <w:gridSpan w:val="2"/>
            <w:tcBorders>
              <w:top w:val="nil"/>
              <w:bottom w:val="nil"/>
            </w:tcBorders>
            <w:noWrap/>
            <w:vAlign w:val="center"/>
            <w:hideMark/>
          </w:tcPr>
          <w:p w14:paraId="6529672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144</w:t>
            </w:r>
          </w:p>
        </w:tc>
        <w:tc>
          <w:tcPr>
            <w:tcW w:w="1867" w:type="dxa"/>
            <w:tcBorders>
              <w:top w:val="nil"/>
              <w:bottom w:val="nil"/>
            </w:tcBorders>
            <w:vAlign w:val="center"/>
          </w:tcPr>
          <w:p w14:paraId="0067275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0.5</w:t>
            </w:r>
          </w:p>
        </w:tc>
        <w:tc>
          <w:tcPr>
            <w:tcW w:w="1468" w:type="dxa"/>
            <w:tcBorders>
              <w:top w:val="nil"/>
              <w:bottom w:val="nil"/>
            </w:tcBorders>
            <w:vAlign w:val="center"/>
          </w:tcPr>
          <w:p w14:paraId="105D558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55</w:t>
            </w:r>
          </w:p>
        </w:tc>
        <w:tc>
          <w:tcPr>
            <w:tcW w:w="1667" w:type="dxa"/>
            <w:tcBorders>
              <w:top w:val="nil"/>
              <w:bottom w:val="nil"/>
            </w:tcBorders>
            <w:vAlign w:val="center"/>
          </w:tcPr>
          <w:p w14:paraId="67A7E25B"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2EA3A6F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7ECE80B3"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4FD9E172"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Nickel (Ni)</w:t>
            </w:r>
          </w:p>
        </w:tc>
        <w:tc>
          <w:tcPr>
            <w:tcW w:w="992" w:type="dxa"/>
            <w:tcBorders>
              <w:top w:val="nil"/>
              <w:bottom w:val="nil"/>
            </w:tcBorders>
            <w:noWrap/>
            <w:vAlign w:val="center"/>
            <w:hideMark/>
          </w:tcPr>
          <w:p w14:paraId="74AAC01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25" w:type="dxa"/>
            <w:tcBorders>
              <w:top w:val="nil"/>
              <w:bottom w:val="nil"/>
            </w:tcBorders>
            <w:vAlign w:val="center"/>
          </w:tcPr>
          <w:p w14:paraId="5598C90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61646602"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63AA467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1013" w:type="dxa"/>
            <w:tcBorders>
              <w:top w:val="nil"/>
              <w:bottom w:val="nil"/>
            </w:tcBorders>
            <w:noWrap/>
            <w:vAlign w:val="center"/>
            <w:hideMark/>
          </w:tcPr>
          <w:p w14:paraId="165E717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0.44</w:t>
            </w:r>
          </w:p>
        </w:tc>
        <w:tc>
          <w:tcPr>
            <w:tcW w:w="1061" w:type="dxa"/>
            <w:gridSpan w:val="2"/>
            <w:tcBorders>
              <w:top w:val="nil"/>
              <w:bottom w:val="nil"/>
            </w:tcBorders>
            <w:noWrap/>
            <w:vAlign w:val="center"/>
            <w:hideMark/>
          </w:tcPr>
          <w:p w14:paraId="4032BB9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81</w:t>
            </w:r>
          </w:p>
        </w:tc>
        <w:tc>
          <w:tcPr>
            <w:tcW w:w="1867" w:type="dxa"/>
            <w:tcBorders>
              <w:top w:val="nil"/>
              <w:bottom w:val="nil"/>
            </w:tcBorders>
            <w:vAlign w:val="center"/>
          </w:tcPr>
          <w:p w14:paraId="75536AE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0.4</w:t>
            </w:r>
          </w:p>
        </w:tc>
        <w:tc>
          <w:tcPr>
            <w:tcW w:w="1468" w:type="dxa"/>
            <w:tcBorders>
              <w:top w:val="nil"/>
              <w:bottom w:val="nil"/>
            </w:tcBorders>
            <w:vAlign w:val="center"/>
          </w:tcPr>
          <w:p w14:paraId="1C38A14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0.75</w:t>
            </w:r>
          </w:p>
        </w:tc>
        <w:tc>
          <w:tcPr>
            <w:tcW w:w="1667" w:type="dxa"/>
            <w:tcBorders>
              <w:top w:val="nil"/>
              <w:bottom w:val="nil"/>
            </w:tcBorders>
            <w:vAlign w:val="center"/>
          </w:tcPr>
          <w:p w14:paraId="438F920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0.4</w:t>
            </w:r>
          </w:p>
        </w:tc>
        <w:tc>
          <w:tcPr>
            <w:tcW w:w="1659" w:type="dxa"/>
            <w:tcBorders>
              <w:top w:val="nil"/>
              <w:bottom w:val="nil"/>
            </w:tcBorders>
            <w:vAlign w:val="center"/>
          </w:tcPr>
          <w:p w14:paraId="75E21F0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0.14</w:t>
            </w:r>
          </w:p>
        </w:tc>
      </w:tr>
      <w:tr w:rsidR="00D76C75" w:rsidRPr="00704E49" w14:paraId="678331AB"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532C55C7"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Selenium (Se)</w:t>
            </w:r>
          </w:p>
        </w:tc>
        <w:tc>
          <w:tcPr>
            <w:tcW w:w="992" w:type="dxa"/>
            <w:tcBorders>
              <w:top w:val="nil"/>
              <w:bottom w:val="nil"/>
            </w:tcBorders>
            <w:noWrap/>
            <w:vAlign w:val="center"/>
            <w:hideMark/>
          </w:tcPr>
          <w:p w14:paraId="66E38BC8"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4276655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0.8</w:t>
            </w:r>
          </w:p>
        </w:tc>
        <w:tc>
          <w:tcPr>
            <w:tcW w:w="861" w:type="dxa"/>
            <w:tcBorders>
              <w:top w:val="nil"/>
              <w:bottom w:val="nil"/>
            </w:tcBorders>
            <w:noWrap/>
            <w:vAlign w:val="center"/>
            <w:hideMark/>
          </w:tcPr>
          <w:p w14:paraId="531B048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959" w:type="dxa"/>
            <w:tcBorders>
              <w:top w:val="nil"/>
              <w:bottom w:val="nil"/>
            </w:tcBorders>
            <w:noWrap/>
            <w:vAlign w:val="center"/>
            <w:hideMark/>
          </w:tcPr>
          <w:p w14:paraId="4E89E99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1013" w:type="dxa"/>
            <w:tcBorders>
              <w:top w:val="nil"/>
              <w:bottom w:val="nil"/>
            </w:tcBorders>
            <w:noWrap/>
            <w:vAlign w:val="center"/>
            <w:hideMark/>
          </w:tcPr>
          <w:p w14:paraId="1BD410D1"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0.15</w:t>
            </w:r>
          </w:p>
        </w:tc>
        <w:tc>
          <w:tcPr>
            <w:tcW w:w="1061" w:type="dxa"/>
            <w:gridSpan w:val="2"/>
            <w:tcBorders>
              <w:top w:val="nil"/>
              <w:bottom w:val="nil"/>
            </w:tcBorders>
            <w:noWrap/>
            <w:vAlign w:val="center"/>
            <w:hideMark/>
          </w:tcPr>
          <w:p w14:paraId="3195E12B"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4.8</w:t>
            </w:r>
          </w:p>
        </w:tc>
        <w:tc>
          <w:tcPr>
            <w:tcW w:w="1867" w:type="dxa"/>
            <w:tcBorders>
              <w:top w:val="nil"/>
              <w:bottom w:val="nil"/>
            </w:tcBorders>
            <w:vAlign w:val="center"/>
          </w:tcPr>
          <w:p w14:paraId="5DEBEDC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0.6</w:t>
            </w:r>
          </w:p>
        </w:tc>
        <w:tc>
          <w:tcPr>
            <w:tcW w:w="1468" w:type="dxa"/>
            <w:tcBorders>
              <w:top w:val="nil"/>
              <w:bottom w:val="nil"/>
            </w:tcBorders>
            <w:vAlign w:val="center"/>
          </w:tcPr>
          <w:p w14:paraId="3F0E169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w:t>
            </w:r>
          </w:p>
        </w:tc>
        <w:tc>
          <w:tcPr>
            <w:tcW w:w="1667" w:type="dxa"/>
            <w:tcBorders>
              <w:top w:val="nil"/>
              <w:bottom w:val="nil"/>
            </w:tcBorders>
            <w:vAlign w:val="center"/>
          </w:tcPr>
          <w:p w14:paraId="1A850E7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7D880DB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0.060</w:t>
            </w:r>
          </w:p>
        </w:tc>
      </w:tr>
      <w:tr w:rsidR="00D76C75" w:rsidRPr="00704E49" w14:paraId="0013BF13"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vAlign w:val="center"/>
            <w:hideMark/>
          </w:tcPr>
          <w:p w14:paraId="2F1567A1"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Tin (Sn)</w:t>
            </w:r>
          </w:p>
        </w:tc>
        <w:tc>
          <w:tcPr>
            <w:tcW w:w="992" w:type="dxa"/>
            <w:tcBorders>
              <w:top w:val="nil"/>
              <w:bottom w:val="nil"/>
            </w:tcBorders>
            <w:noWrap/>
            <w:vAlign w:val="center"/>
            <w:hideMark/>
          </w:tcPr>
          <w:p w14:paraId="633564A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12633A5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03C266D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53EF046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138941F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0.4</w:t>
            </w:r>
          </w:p>
        </w:tc>
        <w:tc>
          <w:tcPr>
            <w:tcW w:w="1061" w:type="dxa"/>
            <w:gridSpan w:val="2"/>
            <w:tcBorders>
              <w:top w:val="nil"/>
              <w:bottom w:val="nil"/>
            </w:tcBorders>
            <w:noWrap/>
            <w:vAlign w:val="center"/>
            <w:hideMark/>
          </w:tcPr>
          <w:p w14:paraId="13B4199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50</w:t>
            </w:r>
          </w:p>
        </w:tc>
        <w:tc>
          <w:tcPr>
            <w:tcW w:w="1867" w:type="dxa"/>
            <w:tcBorders>
              <w:top w:val="nil"/>
              <w:bottom w:val="nil"/>
            </w:tcBorders>
            <w:vAlign w:val="center"/>
          </w:tcPr>
          <w:p w14:paraId="7F476C0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
        </w:tc>
        <w:tc>
          <w:tcPr>
            <w:tcW w:w="1468" w:type="dxa"/>
            <w:tcBorders>
              <w:top w:val="nil"/>
              <w:bottom w:val="nil"/>
            </w:tcBorders>
            <w:vAlign w:val="center"/>
          </w:tcPr>
          <w:p w14:paraId="720954F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w:t>
            </w:r>
          </w:p>
        </w:tc>
        <w:tc>
          <w:tcPr>
            <w:tcW w:w="1667" w:type="dxa"/>
            <w:tcBorders>
              <w:top w:val="nil"/>
              <w:bottom w:val="nil"/>
            </w:tcBorders>
            <w:vAlign w:val="center"/>
          </w:tcPr>
          <w:p w14:paraId="6B0E4A2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1E3F5E5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r>
      <w:tr w:rsidR="00D76C75" w:rsidRPr="00704E49" w14:paraId="78C11047"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vAlign w:val="center"/>
            <w:hideMark/>
          </w:tcPr>
          <w:p w14:paraId="1095F29A"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Vanadium (V)</w:t>
            </w:r>
          </w:p>
        </w:tc>
        <w:tc>
          <w:tcPr>
            <w:tcW w:w="992" w:type="dxa"/>
            <w:tcBorders>
              <w:top w:val="nil"/>
              <w:bottom w:val="nil"/>
            </w:tcBorders>
            <w:noWrap/>
            <w:vAlign w:val="center"/>
            <w:hideMark/>
          </w:tcPr>
          <w:p w14:paraId="6388C85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117AF3F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34EF09A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51511B5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2F93894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1.8</w:t>
            </w:r>
          </w:p>
        </w:tc>
        <w:tc>
          <w:tcPr>
            <w:tcW w:w="1061" w:type="dxa"/>
            <w:gridSpan w:val="2"/>
            <w:tcBorders>
              <w:top w:val="nil"/>
              <w:bottom w:val="nil"/>
            </w:tcBorders>
            <w:noWrap/>
            <w:vAlign w:val="center"/>
            <w:hideMark/>
          </w:tcPr>
          <w:p w14:paraId="4A05BE4F"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320</w:t>
            </w:r>
          </w:p>
        </w:tc>
        <w:tc>
          <w:tcPr>
            <w:tcW w:w="1867" w:type="dxa"/>
            <w:tcBorders>
              <w:top w:val="nil"/>
              <w:bottom w:val="nil"/>
            </w:tcBorders>
            <w:vAlign w:val="center"/>
          </w:tcPr>
          <w:p w14:paraId="5962B6E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
        </w:tc>
        <w:tc>
          <w:tcPr>
            <w:tcW w:w="1468" w:type="dxa"/>
            <w:tcBorders>
              <w:top w:val="nil"/>
              <w:bottom w:val="nil"/>
            </w:tcBorders>
            <w:vAlign w:val="center"/>
          </w:tcPr>
          <w:p w14:paraId="3B0FFD2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2.5</w:t>
            </w:r>
          </w:p>
        </w:tc>
        <w:tc>
          <w:tcPr>
            <w:tcW w:w="1667" w:type="dxa"/>
            <w:tcBorders>
              <w:top w:val="nil"/>
              <w:bottom w:val="nil"/>
            </w:tcBorders>
            <w:vAlign w:val="center"/>
          </w:tcPr>
          <w:p w14:paraId="6F6FD2A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2FF22D5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32C2BF3A"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219A792B"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Zinc</w:t>
            </w:r>
            <w:proofErr w:type="spellEnd"/>
            <w:r w:rsidRPr="00704E49">
              <w:rPr>
                <w:rFonts w:ascii="Calibri" w:eastAsia="等线" w:hAnsi="Calibri" w:cs="Calibri"/>
                <w:sz w:val="16"/>
                <w:szCs w:val="16"/>
              </w:rPr>
              <w:t xml:space="preserve"> (Zn)</w:t>
            </w:r>
          </w:p>
        </w:tc>
        <w:tc>
          <w:tcPr>
            <w:tcW w:w="992" w:type="dxa"/>
            <w:tcBorders>
              <w:top w:val="nil"/>
              <w:bottom w:val="nil"/>
            </w:tcBorders>
            <w:noWrap/>
            <w:vAlign w:val="center"/>
            <w:hideMark/>
          </w:tcPr>
          <w:p w14:paraId="3E27266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925" w:type="dxa"/>
            <w:tcBorders>
              <w:top w:val="nil"/>
              <w:bottom w:val="nil"/>
            </w:tcBorders>
            <w:vAlign w:val="center"/>
          </w:tcPr>
          <w:p w14:paraId="7EF86D8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1B8F559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64D2A76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1013" w:type="dxa"/>
            <w:tcBorders>
              <w:top w:val="nil"/>
              <w:bottom w:val="nil"/>
            </w:tcBorders>
            <w:noWrap/>
            <w:vAlign w:val="center"/>
            <w:hideMark/>
          </w:tcPr>
          <w:p w14:paraId="006D848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4.5</w:t>
            </w:r>
          </w:p>
        </w:tc>
        <w:tc>
          <w:tcPr>
            <w:tcW w:w="1061" w:type="dxa"/>
            <w:gridSpan w:val="2"/>
            <w:tcBorders>
              <w:top w:val="nil"/>
              <w:bottom w:val="nil"/>
            </w:tcBorders>
            <w:noWrap/>
            <w:vAlign w:val="center"/>
            <w:hideMark/>
          </w:tcPr>
          <w:p w14:paraId="0480C0B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800</w:t>
            </w:r>
          </w:p>
        </w:tc>
        <w:tc>
          <w:tcPr>
            <w:tcW w:w="1867" w:type="dxa"/>
            <w:tcBorders>
              <w:top w:val="nil"/>
              <w:bottom w:val="nil"/>
            </w:tcBorders>
            <w:vAlign w:val="center"/>
          </w:tcPr>
          <w:p w14:paraId="5A6D4E38"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w:t>
            </w:r>
          </w:p>
        </w:tc>
        <w:tc>
          <w:tcPr>
            <w:tcW w:w="1468" w:type="dxa"/>
            <w:tcBorders>
              <w:top w:val="nil"/>
              <w:bottom w:val="nil"/>
            </w:tcBorders>
            <w:vAlign w:val="center"/>
          </w:tcPr>
          <w:p w14:paraId="2E5EB2B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2.8</w:t>
            </w:r>
          </w:p>
        </w:tc>
        <w:tc>
          <w:tcPr>
            <w:tcW w:w="1667" w:type="dxa"/>
            <w:tcBorders>
              <w:top w:val="nil"/>
              <w:bottom w:val="nil"/>
            </w:tcBorders>
            <w:vAlign w:val="center"/>
          </w:tcPr>
          <w:p w14:paraId="01FACE1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0DC0A69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3.0</w:t>
            </w:r>
          </w:p>
        </w:tc>
      </w:tr>
      <w:tr w:rsidR="00D76C75" w:rsidRPr="00704E49" w14:paraId="559FE76C"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742EE78A"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Fluoride (F)</w:t>
            </w:r>
          </w:p>
        </w:tc>
        <w:tc>
          <w:tcPr>
            <w:tcW w:w="992" w:type="dxa"/>
            <w:tcBorders>
              <w:top w:val="nil"/>
              <w:bottom w:val="nil"/>
            </w:tcBorders>
            <w:noWrap/>
            <w:vAlign w:val="center"/>
            <w:hideMark/>
          </w:tcPr>
          <w:p w14:paraId="4675804F"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24C83530"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2FAD27C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20DC307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150</w:t>
            </w:r>
          </w:p>
        </w:tc>
        <w:tc>
          <w:tcPr>
            <w:tcW w:w="1013" w:type="dxa"/>
            <w:tcBorders>
              <w:top w:val="nil"/>
              <w:bottom w:val="nil"/>
            </w:tcBorders>
            <w:noWrap/>
            <w:vAlign w:val="center"/>
            <w:hideMark/>
          </w:tcPr>
          <w:p w14:paraId="3A3B6ADE" w14:textId="10056B9F" w:rsidR="00D76C75" w:rsidRPr="00704E49" w:rsidRDefault="00CA5581"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55</w:t>
            </w:r>
          </w:p>
        </w:tc>
        <w:tc>
          <w:tcPr>
            <w:tcW w:w="1061" w:type="dxa"/>
            <w:gridSpan w:val="2"/>
            <w:tcBorders>
              <w:top w:val="nil"/>
              <w:bottom w:val="nil"/>
            </w:tcBorders>
            <w:noWrap/>
            <w:vAlign w:val="center"/>
            <w:hideMark/>
          </w:tcPr>
          <w:p w14:paraId="147F9E3E" w14:textId="7C9A7AF4"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25</w:t>
            </w:r>
            <w:r w:rsidR="00CA5581" w:rsidRPr="00704E49">
              <w:rPr>
                <w:rFonts w:ascii="Calibri" w:eastAsia="等线" w:hAnsi="Calibri" w:cs="Calibri"/>
                <w:sz w:val="16"/>
                <w:szCs w:val="16"/>
              </w:rPr>
              <w:t>00</w:t>
            </w:r>
          </w:p>
        </w:tc>
        <w:tc>
          <w:tcPr>
            <w:tcW w:w="1867" w:type="dxa"/>
            <w:tcBorders>
              <w:top w:val="nil"/>
              <w:bottom w:val="nil"/>
            </w:tcBorders>
            <w:vAlign w:val="center"/>
          </w:tcPr>
          <w:p w14:paraId="7EE670F5"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w:t>
            </w:r>
          </w:p>
        </w:tc>
        <w:tc>
          <w:tcPr>
            <w:tcW w:w="1468" w:type="dxa"/>
            <w:tcBorders>
              <w:top w:val="nil"/>
              <w:bottom w:val="nil"/>
            </w:tcBorders>
            <w:vAlign w:val="center"/>
          </w:tcPr>
          <w:p w14:paraId="69886F4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55</w:t>
            </w:r>
          </w:p>
        </w:tc>
        <w:tc>
          <w:tcPr>
            <w:tcW w:w="1667" w:type="dxa"/>
            <w:tcBorders>
              <w:top w:val="nil"/>
              <w:bottom w:val="nil"/>
            </w:tcBorders>
            <w:vAlign w:val="center"/>
          </w:tcPr>
          <w:p w14:paraId="3222A00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7562428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7F11FFE6"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727E1018"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Chloride (Cl)</w:t>
            </w:r>
          </w:p>
        </w:tc>
        <w:tc>
          <w:tcPr>
            <w:tcW w:w="992" w:type="dxa"/>
            <w:tcBorders>
              <w:top w:val="nil"/>
              <w:bottom w:val="nil"/>
            </w:tcBorders>
            <w:noWrap/>
            <w:vAlign w:val="center"/>
            <w:hideMark/>
          </w:tcPr>
          <w:p w14:paraId="693C5E3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4BF6E9E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5A7803C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4936DB3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58849D9A"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616</w:t>
            </w:r>
          </w:p>
        </w:tc>
        <w:tc>
          <w:tcPr>
            <w:tcW w:w="1061" w:type="dxa"/>
            <w:gridSpan w:val="2"/>
            <w:tcBorders>
              <w:top w:val="nil"/>
              <w:bottom w:val="nil"/>
            </w:tcBorders>
            <w:noWrap/>
            <w:vAlign w:val="center"/>
            <w:hideMark/>
          </w:tcPr>
          <w:p w14:paraId="729F07DD" w14:textId="7D2BC720"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110</w:t>
            </w:r>
            <w:r w:rsidR="00CA5581" w:rsidRPr="00704E49">
              <w:rPr>
                <w:rFonts w:ascii="Calibri" w:eastAsia="等线" w:hAnsi="Calibri" w:cs="Calibri"/>
                <w:sz w:val="16"/>
                <w:szCs w:val="16"/>
              </w:rPr>
              <w:t>000</w:t>
            </w:r>
          </w:p>
        </w:tc>
        <w:tc>
          <w:tcPr>
            <w:tcW w:w="1867" w:type="dxa"/>
            <w:tcBorders>
              <w:top w:val="nil"/>
              <w:bottom w:val="nil"/>
            </w:tcBorders>
            <w:vAlign w:val="center"/>
          </w:tcPr>
          <w:p w14:paraId="59FDB13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800</w:t>
            </w:r>
          </w:p>
        </w:tc>
        <w:tc>
          <w:tcPr>
            <w:tcW w:w="1468" w:type="dxa"/>
            <w:tcBorders>
              <w:top w:val="nil"/>
              <w:bottom w:val="nil"/>
            </w:tcBorders>
            <w:vAlign w:val="center"/>
          </w:tcPr>
          <w:p w14:paraId="748404E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1000</w:t>
            </w:r>
          </w:p>
        </w:tc>
        <w:tc>
          <w:tcPr>
            <w:tcW w:w="1667" w:type="dxa"/>
            <w:tcBorders>
              <w:top w:val="nil"/>
              <w:bottom w:val="nil"/>
            </w:tcBorders>
            <w:vAlign w:val="center"/>
          </w:tcPr>
          <w:p w14:paraId="07BD438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800</w:t>
            </w:r>
          </w:p>
        </w:tc>
        <w:tc>
          <w:tcPr>
            <w:tcW w:w="1659" w:type="dxa"/>
            <w:tcBorders>
              <w:top w:val="nil"/>
              <w:bottom w:val="nil"/>
            </w:tcBorders>
            <w:vAlign w:val="center"/>
          </w:tcPr>
          <w:p w14:paraId="02D34BD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6000</w:t>
            </w:r>
          </w:p>
        </w:tc>
      </w:tr>
      <w:tr w:rsidR="00D76C75" w:rsidRPr="00704E49" w14:paraId="26D4C3F7"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7093179C"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Sulfate</w:t>
            </w:r>
            <w:proofErr w:type="spellEnd"/>
            <w:r w:rsidRPr="00704E49">
              <w:rPr>
                <w:rFonts w:ascii="Calibri" w:eastAsia="等线" w:hAnsi="Calibri" w:cs="Calibri"/>
                <w:sz w:val="16"/>
                <w:szCs w:val="16"/>
              </w:rPr>
              <w:t xml:space="preserve"> (SO</w:t>
            </w:r>
            <w:r w:rsidRPr="00704E49">
              <w:rPr>
                <w:rFonts w:ascii="Calibri" w:eastAsia="等线" w:hAnsi="Calibri" w:cs="Calibri"/>
                <w:sz w:val="16"/>
                <w:szCs w:val="16"/>
                <w:vertAlign w:val="subscript"/>
              </w:rPr>
              <w:t>4</w:t>
            </w:r>
            <w:r w:rsidRPr="00704E49">
              <w:rPr>
                <w:rFonts w:ascii="Calibri" w:eastAsia="等线" w:hAnsi="Calibri" w:cs="Calibri"/>
                <w:sz w:val="16"/>
                <w:szCs w:val="16"/>
                <w:vertAlign w:val="superscript"/>
              </w:rPr>
              <w:t>2−)</w:t>
            </w:r>
          </w:p>
        </w:tc>
        <w:tc>
          <w:tcPr>
            <w:tcW w:w="992" w:type="dxa"/>
            <w:tcBorders>
              <w:top w:val="nil"/>
              <w:bottom w:val="nil"/>
            </w:tcBorders>
            <w:noWrap/>
            <w:vAlign w:val="center"/>
            <w:hideMark/>
          </w:tcPr>
          <w:p w14:paraId="55FDB295"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00B8E22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4FC9052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6DD877B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2475DA7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2430</w:t>
            </w:r>
          </w:p>
        </w:tc>
        <w:tc>
          <w:tcPr>
            <w:tcW w:w="1061" w:type="dxa"/>
            <w:gridSpan w:val="2"/>
            <w:tcBorders>
              <w:top w:val="nil"/>
              <w:bottom w:val="nil"/>
            </w:tcBorders>
            <w:noWrap/>
            <w:vAlign w:val="center"/>
            <w:hideMark/>
          </w:tcPr>
          <w:p w14:paraId="584B9EA3" w14:textId="2C456476"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165</w:t>
            </w:r>
            <w:r w:rsidR="00CA5581" w:rsidRPr="00704E49">
              <w:rPr>
                <w:rFonts w:ascii="Calibri" w:eastAsia="等线" w:hAnsi="Calibri" w:cs="Calibri"/>
                <w:sz w:val="16"/>
                <w:szCs w:val="16"/>
              </w:rPr>
              <w:t>000</w:t>
            </w:r>
          </w:p>
        </w:tc>
        <w:tc>
          <w:tcPr>
            <w:tcW w:w="1867" w:type="dxa"/>
            <w:tcBorders>
              <w:top w:val="nil"/>
              <w:bottom w:val="nil"/>
            </w:tcBorders>
            <w:vAlign w:val="center"/>
          </w:tcPr>
          <w:p w14:paraId="6811BA0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2500</w:t>
            </w:r>
          </w:p>
        </w:tc>
        <w:tc>
          <w:tcPr>
            <w:tcW w:w="1468" w:type="dxa"/>
            <w:tcBorders>
              <w:top w:val="nil"/>
              <w:bottom w:val="nil"/>
            </w:tcBorders>
            <w:vAlign w:val="center"/>
          </w:tcPr>
          <w:p w14:paraId="0B1A0D6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2200</w:t>
            </w:r>
          </w:p>
        </w:tc>
        <w:tc>
          <w:tcPr>
            <w:tcW w:w="1667" w:type="dxa"/>
            <w:tcBorders>
              <w:top w:val="nil"/>
              <w:bottom w:val="nil"/>
            </w:tcBorders>
            <w:vAlign w:val="center"/>
          </w:tcPr>
          <w:p w14:paraId="018051F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2500</w:t>
            </w:r>
          </w:p>
        </w:tc>
        <w:tc>
          <w:tcPr>
            <w:tcW w:w="1659" w:type="dxa"/>
            <w:tcBorders>
              <w:top w:val="nil"/>
              <w:bottom w:val="nil"/>
            </w:tcBorders>
            <w:vAlign w:val="center"/>
          </w:tcPr>
          <w:p w14:paraId="32D4BFF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8000</w:t>
            </w:r>
          </w:p>
        </w:tc>
      </w:tr>
      <w:tr w:rsidR="00D76C75" w:rsidRPr="00704E49" w14:paraId="4836D8FD"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4B6EB548"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Bromide (Br))</w:t>
            </w:r>
          </w:p>
        </w:tc>
        <w:tc>
          <w:tcPr>
            <w:tcW w:w="992" w:type="dxa"/>
            <w:tcBorders>
              <w:top w:val="nil"/>
              <w:bottom w:val="nil"/>
            </w:tcBorders>
            <w:noWrap/>
            <w:vAlign w:val="center"/>
            <w:hideMark/>
          </w:tcPr>
          <w:p w14:paraId="712D657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759B0B6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58125C9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537700C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13" w:type="dxa"/>
            <w:tcBorders>
              <w:top w:val="nil"/>
              <w:bottom w:val="nil"/>
            </w:tcBorders>
            <w:noWrap/>
            <w:vAlign w:val="center"/>
            <w:hideMark/>
          </w:tcPr>
          <w:p w14:paraId="17655F5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061" w:type="dxa"/>
            <w:gridSpan w:val="2"/>
            <w:tcBorders>
              <w:top w:val="nil"/>
              <w:bottom w:val="nil"/>
            </w:tcBorders>
            <w:noWrap/>
            <w:vAlign w:val="center"/>
            <w:hideMark/>
          </w:tcPr>
          <w:p w14:paraId="27070A9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670</w:t>
            </w:r>
          </w:p>
        </w:tc>
        <w:tc>
          <w:tcPr>
            <w:tcW w:w="1867" w:type="dxa"/>
            <w:tcBorders>
              <w:top w:val="nil"/>
              <w:bottom w:val="nil"/>
            </w:tcBorders>
            <w:vAlign w:val="center"/>
          </w:tcPr>
          <w:p w14:paraId="542DD3A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w:t>
            </w:r>
          </w:p>
        </w:tc>
        <w:tc>
          <w:tcPr>
            <w:tcW w:w="1468" w:type="dxa"/>
            <w:tcBorders>
              <w:top w:val="nil"/>
              <w:bottom w:val="nil"/>
            </w:tcBorders>
            <w:vAlign w:val="center"/>
          </w:tcPr>
          <w:p w14:paraId="7D1D086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20</w:t>
            </w:r>
          </w:p>
        </w:tc>
        <w:tc>
          <w:tcPr>
            <w:tcW w:w="1667" w:type="dxa"/>
            <w:tcBorders>
              <w:top w:val="nil"/>
              <w:bottom w:val="nil"/>
            </w:tcBorders>
            <w:vAlign w:val="center"/>
          </w:tcPr>
          <w:p w14:paraId="5DD9333C"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708F658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r>
      <w:tr w:rsidR="00D76C75" w:rsidRPr="00704E49" w14:paraId="7EB118E4"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7B2F3FF1"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Iron (Fe)</w:t>
            </w:r>
          </w:p>
        </w:tc>
        <w:tc>
          <w:tcPr>
            <w:tcW w:w="992" w:type="dxa"/>
            <w:tcBorders>
              <w:top w:val="nil"/>
              <w:bottom w:val="nil"/>
            </w:tcBorders>
            <w:noWrap/>
            <w:vAlign w:val="center"/>
            <w:hideMark/>
          </w:tcPr>
          <w:p w14:paraId="5EB4FF2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60AE60A6"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1CBEB17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5AAA46E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100</w:t>
            </w:r>
          </w:p>
        </w:tc>
        <w:tc>
          <w:tcPr>
            <w:tcW w:w="1013" w:type="dxa"/>
            <w:tcBorders>
              <w:top w:val="nil"/>
              <w:bottom w:val="nil"/>
            </w:tcBorders>
            <w:noWrap/>
            <w:vAlign w:val="center"/>
            <w:hideMark/>
          </w:tcPr>
          <w:p w14:paraId="516E88E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61" w:type="dxa"/>
            <w:gridSpan w:val="2"/>
            <w:tcBorders>
              <w:top w:val="nil"/>
              <w:bottom w:val="nil"/>
            </w:tcBorders>
            <w:noWrap/>
            <w:vAlign w:val="center"/>
            <w:hideMark/>
          </w:tcPr>
          <w:p w14:paraId="18879563"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867" w:type="dxa"/>
            <w:tcBorders>
              <w:top w:val="nil"/>
              <w:bottom w:val="nil"/>
            </w:tcBorders>
            <w:vAlign w:val="center"/>
          </w:tcPr>
          <w:p w14:paraId="247AADA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468" w:type="dxa"/>
            <w:tcBorders>
              <w:top w:val="nil"/>
              <w:bottom w:val="nil"/>
            </w:tcBorders>
            <w:vAlign w:val="center"/>
          </w:tcPr>
          <w:p w14:paraId="11651D2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67" w:type="dxa"/>
            <w:tcBorders>
              <w:top w:val="nil"/>
              <w:bottom w:val="nil"/>
            </w:tcBorders>
            <w:vAlign w:val="center"/>
          </w:tcPr>
          <w:p w14:paraId="6F1C95E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36AF508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0FF23043"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6B14D877"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Silver (Ag)</w:t>
            </w:r>
          </w:p>
        </w:tc>
        <w:tc>
          <w:tcPr>
            <w:tcW w:w="992" w:type="dxa"/>
            <w:tcBorders>
              <w:top w:val="nil"/>
              <w:bottom w:val="nil"/>
            </w:tcBorders>
            <w:noWrap/>
            <w:vAlign w:val="center"/>
            <w:hideMark/>
          </w:tcPr>
          <w:p w14:paraId="19C12DF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230D236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4A1371D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959" w:type="dxa"/>
            <w:tcBorders>
              <w:top w:val="nil"/>
              <w:bottom w:val="nil"/>
            </w:tcBorders>
            <w:noWrap/>
            <w:vAlign w:val="center"/>
            <w:hideMark/>
          </w:tcPr>
          <w:p w14:paraId="67024B7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w:t>
            </w:r>
          </w:p>
        </w:tc>
        <w:tc>
          <w:tcPr>
            <w:tcW w:w="1013" w:type="dxa"/>
            <w:tcBorders>
              <w:top w:val="nil"/>
              <w:bottom w:val="nil"/>
            </w:tcBorders>
            <w:noWrap/>
            <w:vAlign w:val="center"/>
            <w:hideMark/>
          </w:tcPr>
          <w:p w14:paraId="5E17288B"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61" w:type="dxa"/>
            <w:gridSpan w:val="2"/>
            <w:tcBorders>
              <w:top w:val="nil"/>
              <w:bottom w:val="nil"/>
            </w:tcBorders>
            <w:noWrap/>
            <w:vAlign w:val="center"/>
            <w:hideMark/>
          </w:tcPr>
          <w:p w14:paraId="397B3B6E"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867" w:type="dxa"/>
            <w:tcBorders>
              <w:top w:val="nil"/>
              <w:bottom w:val="nil"/>
            </w:tcBorders>
            <w:vAlign w:val="center"/>
          </w:tcPr>
          <w:p w14:paraId="47A3CA1F"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468" w:type="dxa"/>
            <w:tcBorders>
              <w:top w:val="nil"/>
              <w:bottom w:val="nil"/>
            </w:tcBorders>
            <w:vAlign w:val="center"/>
          </w:tcPr>
          <w:p w14:paraId="718DD4F6"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67" w:type="dxa"/>
            <w:tcBorders>
              <w:top w:val="nil"/>
              <w:bottom w:val="nil"/>
            </w:tcBorders>
            <w:vAlign w:val="center"/>
          </w:tcPr>
          <w:p w14:paraId="692FC91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69417A0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r>
      <w:tr w:rsidR="00D76C75" w:rsidRPr="00704E49" w14:paraId="0343884E" w14:textId="77777777" w:rsidTr="00AC0648">
        <w:trPr>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tcBorders>
            <w:noWrap/>
            <w:vAlign w:val="center"/>
            <w:hideMark/>
          </w:tcPr>
          <w:p w14:paraId="690C53D9" w14:textId="77777777" w:rsidR="00D76C75" w:rsidRPr="00704E49" w:rsidRDefault="00D76C75" w:rsidP="00D76C75">
            <w:pPr>
              <w:widowControl/>
              <w:snapToGrid w:val="0"/>
              <w:jc w:val="left"/>
              <w:rPr>
                <w:rFonts w:ascii="Calibri" w:eastAsia="等线" w:hAnsi="Calibri" w:cs="Calibri"/>
                <w:sz w:val="16"/>
                <w:szCs w:val="16"/>
              </w:rPr>
            </w:pPr>
            <w:r w:rsidRPr="00704E49">
              <w:rPr>
                <w:rFonts w:ascii="Calibri" w:eastAsia="等线" w:hAnsi="Calibri" w:cs="Calibri"/>
                <w:sz w:val="16"/>
                <w:szCs w:val="16"/>
              </w:rPr>
              <w:t>Cyanide (CN)</w:t>
            </w:r>
          </w:p>
        </w:tc>
        <w:tc>
          <w:tcPr>
            <w:tcW w:w="992" w:type="dxa"/>
            <w:tcBorders>
              <w:top w:val="nil"/>
              <w:bottom w:val="nil"/>
            </w:tcBorders>
            <w:noWrap/>
            <w:vAlign w:val="center"/>
            <w:hideMark/>
          </w:tcPr>
          <w:p w14:paraId="18F9A94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bottom w:val="nil"/>
            </w:tcBorders>
            <w:vAlign w:val="center"/>
          </w:tcPr>
          <w:p w14:paraId="3CDF4BBA"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bottom w:val="nil"/>
            </w:tcBorders>
            <w:noWrap/>
            <w:vAlign w:val="center"/>
            <w:hideMark/>
          </w:tcPr>
          <w:p w14:paraId="5D68F6FC"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bottom w:val="nil"/>
            </w:tcBorders>
            <w:noWrap/>
            <w:vAlign w:val="center"/>
            <w:hideMark/>
          </w:tcPr>
          <w:p w14:paraId="1ED80847"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10</w:t>
            </w:r>
          </w:p>
        </w:tc>
        <w:tc>
          <w:tcPr>
            <w:tcW w:w="1013" w:type="dxa"/>
            <w:tcBorders>
              <w:top w:val="nil"/>
              <w:bottom w:val="nil"/>
            </w:tcBorders>
            <w:noWrap/>
            <w:vAlign w:val="center"/>
            <w:hideMark/>
          </w:tcPr>
          <w:p w14:paraId="60C24064"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61" w:type="dxa"/>
            <w:gridSpan w:val="2"/>
            <w:tcBorders>
              <w:top w:val="nil"/>
              <w:bottom w:val="nil"/>
            </w:tcBorders>
            <w:noWrap/>
            <w:vAlign w:val="center"/>
            <w:hideMark/>
          </w:tcPr>
          <w:p w14:paraId="172D29CD"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867" w:type="dxa"/>
            <w:tcBorders>
              <w:top w:val="nil"/>
              <w:bottom w:val="nil"/>
            </w:tcBorders>
            <w:vAlign w:val="center"/>
          </w:tcPr>
          <w:p w14:paraId="3AA95F69"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468" w:type="dxa"/>
            <w:tcBorders>
              <w:top w:val="nil"/>
              <w:bottom w:val="nil"/>
            </w:tcBorders>
            <w:vAlign w:val="center"/>
          </w:tcPr>
          <w:p w14:paraId="0EBE12FE"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67" w:type="dxa"/>
            <w:tcBorders>
              <w:top w:val="nil"/>
              <w:bottom w:val="nil"/>
            </w:tcBorders>
            <w:vAlign w:val="center"/>
          </w:tcPr>
          <w:p w14:paraId="2CEB5791"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c>
          <w:tcPr>
            <w:tcW w:w="1659" w:type="dxa"/>
            <w:tcBorders>
              <w:top w:val="nil"/>
              <w:bottom w:val="nil"/>
            </w:tcBorders>
            <w:vAlign w:val="center"/>
          </w:tcPr>
          <w:p w14:paraId="5B8B1F7B" w14:textId="77777777" w:rsidR="00D76C75" w:rsidRPr="00704E49" w:rsidRDefault="00D76C75" w:rsidP="00D76C75">
            <w:pPr>
              <w:widowControl/>
              <w:snapToGrid w:val="0"/>
              <w:jc w:val="center"/>
              <w:cnfStyle w:val="000000000000" w:firstRow="0" w:lastRow="0" w:firstColumn="0" w:lastColumn="0" w:oddVBand="0" w:evenVBand="0" w:oddHBand="0" w:evenHBand="0" w:firstRowFirstColumn="0" w:firstRowLastColumn="0" w:lastRowFirstColumn="0" w:lastRowLastColumn="0"/>
              <w:rPr>
                <w:rFonts w:ascii="Calibri" w:eastAsia="等线" w:hAnsi="Calibri" w:cs="Calibri"/>
                <w:sz w:val="16"/>
                <w:szCs w:val="16"/>
              </w:rPr>
            </w:pPr>
          </w:p>
        </w:tc>
      </w:tr>
      <w:tr w:rsidR="00D76C75" w:rsidRPr="00704E49" w14:paraId="2BE638D5" w14:textId="77777777" w:rsidTr="00AC064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18" w:type="dxa"/>
            <w:tcBorders>
              <w:top w:val="nil"/>
            </w:tcBorders>
            <w:noWrap/>
            <w:vAlign w:val="center"/>
            <w:hideMark/>
          </w:tcPr>
          <w:p w14:paraId="50D0CAE9" w14:textId="77777777" w:rsidR="00D76C75" w:rsidRPr="00704E49" w:rsidRDefault="00D76C75" w:rsidP="00D76C75">
            <w:pPr>
              <w:widowControl/>
              <w:snapToGrid w:val="0"/>
              <w:jc w:val="left"/>
              <w:rPr>
                <w:rFonts w:ascii="Calibri" w:eastAsia="等线" w:hAnsi="Calibri" w:cs="Calibri"/>
                <w:sz w:val="16"/>
                <w:szCs w:val="16"/>
              </w:rPr>
            </w:pPr>
            <w:proofErr w:type="spellStart"/>
            <w:r w:rsidRPr="00704E49">
              <w:rPr>
                <w:rFonts w:ascii="Calibri" w:eastAsia="等线" w:hAnsi="Calibri" w:cs="Calibri"/>
                <w:sz w:val="16"/>
                <w:szCs w:val="16"/>
              </w:rPr>
              <w:t>Manganese</w:t>
            </w:r>
            <w:proofErr w:type="spellEnd"/>
            <w:r w:rsidRPr="00704E49">
              <w:rPr>
                <w:rFonts w:ascii="Calibri" w:eastAsia="等线" w:hAnsi="Calibri" w:cs="Calibri"/>
                <w:sz w:val="16"/>
                <w:szCs w:val="16"/>
              </w:rPr>
              <w:t xml:space="preserve"> (Mn)</w:t>
            </w:r>
          </w:p>
        </w:tc>
        <w:tc>
          <w:tcPr>
            <w:tcW w:w="992" w:type="dxa"/>
            <w:tcBorders>
              <w:top w:val="nil"/>
            </w:tcBorders>
            <w:noWrap/>
            <w:vAlign w:val="center"/>
            <w:hideMark/>
          </w:tcPr>
          <w:p w14:paraId="75053DC9"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25" w:type="dxa"/>
            <w:tcBorders>
              <w:top w:val="nil"/>
            </w:tcBorders>
            <w:vAlign w:val="center"/>
          </w:tcPr>
          <w:p w14:paraId="6520438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861" w:type="dxa"/>
            <w:tcBorders>
              <w:top w:val="nil"/>
            </w:tcBorders>
            <w:noWrap/>
            <w:vAlign w:val="center"/>
            <w:hideMark/>
          </w:tcPr>
          <w:p w14:paraId="21CA6C8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959" w:type="dxa"/>
            <w:tcBorders>
              <w:top w:val="nil"/>
            </w:tcBorders>
            <w:noWrap/>
            <w:vAlign w:val="center"/>
            <w:hideMark/>
          </w:tcPr>
          <w:p w14:paraId="6DB24783"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50</w:t>
            </w:r>
          </w:p>
        </w:tc>
        <w:tc>
          <w:tcPr>
            <w:tcW w:w="1013" w:type="dxa"/>
            <w:tcBorders>
              <w:top w:val="nil"/>
            </w:tcBorders>
            <w:noWrap/>
            <w:vAlign w:val="center"/>
            <w:hideMark/>
          </w:tcPr>
          <w:p w14:paraId="6B6E6FF0"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061" w:type="dxa"/>
            <w:gridSpan w:val="2"/>
            <w:tcBorders>
              <w:top w:val="nil"/>
            </w:tcBorders>
            <w:noWrap/>
            <w:vAlign w:val="center"/>
            <w:hideMark/>
          </w:tcPr>
          <w:p w14:paraId="06C93411"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hint="eastAsia"/>
                <w:sz w:val="16"/>
                <w:szCs w:val="16"/>
              </w:rPr>
              <w:t>-</w:t>
            </w:r>
          </w:p>
        </w:tc>
        <w:tc>
          <w:tcPr>
            <w:tcW w:w="1867" w:type="dxa"/>
            <w:tcBorders>
              <w:top w:val="nil"/>
            </w:tcBorders>
            <w:vAlign w:val="center"/>
          </w:tcPr>
          <w:p w14:paraId="6FDF169D"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468" w:type="dxa"/>
            <w:tcBorders>
              <w:top w:val="nil"/>
            </w:tcBorders>
            <w:vAlign w:val="center"/>
          </w:tcPr>
          <w:p w14:paraId="5C7365D7"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67" w:type="dxa"/>
            <w:tcBorders>
              <w:top w:val="nil"/>
            </w:tcBorders>
            <w:vAlign w:val="center"/>
          </w:tcPr>
          <w:p w14:paraId="5216DD05"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p>
        </w:tc>
        <w:tc>
          <w:tcPr>
            <w:tcW w:w="1659" w:type="dxa"/>
            <w:tcBorders>
              <w:top w:val="nil"/>
            </w:tcBorders>
            <w:vAlign w:val="center"/>
          </w:tcPr>
          <w:p w14:paraId="5229E294" w14:textId="77777777" w:rsidR="00D76C75" w:rsidRPr="00704E49" w:rsidRDefault="00D76C75" w:rsidP="00D76C75">
            <w:pPr>
              <w:widowControl/>
              <w:snapToGrid w:val="0"/>
              <w:jc w:val="center"/>
              <w:cnfStyle w:val="000000100000" w:firstRow="0" w:lastRow="0" w:firstColumn="0" w:lastColumn="0" w:oddVBand="0" w:evenVBand="0" w:oddHBand="1" w:evenHBand="0" w:firstRowFirstColumn="0" w:firstRowLastColumn="0" w:lastRowFirstColumn="0" w:lastRowLastColumn="0"/>
              <w:rPr>
                <w:rFonts w:ascii="Calibri" w:eastAsia="等线" w:hAnsi="Calibri" w:cs="Calibri"/>
                <w:sz w:val="16"/>
                <w:szCs w:val="16"/>
              </w:rPr>
            </w:pPr>
            <w:r w:rsidRPr="00704E49">
              <w:rPr>
                <w:rFonts w:ascii="Calibri" w:eastAsia="等线" w:hAnsi="Calibri" w:cs="Calibri"/>
                <w:sz w:val="16"/>
                <w:szCs w:val="16"/>
              </w:rPr>
              <w:t>2.0</w:t>
            </w:r>
          </w:p>
        </w:tc>
      </w:tr>
      <w:bookmarkEnd w:id="16"/>
    </w:tbl>
    <w:p w14:paraId="4C345906" w14:textId="4D3F1997" w:rsidR="0015688F" w:rsidRPr="00704E49" w:rsidRDefault="0015688F" w:rsidP="00D76C75"/>
    <w:p w14:paraId="08C59AF0" w14:textId="77777777" w:rsidR="0015688F" w:rsidRPr="00704E49" w:rsidRDefault="0015688F">
      <w:pPr>
        <w:widowControl/>
        <w:jc w:val="left"/>
      </w:pPr>
      <w:r w:rsidRPr="00704E49">
        <w:br w:type="page"/>
      </w:r>
    </w:p>
    <w:p w14:paraId="464E8487" w14:textId="054AEEEE" w:rsidR="00677E53" w:rsidRPr="00704E49" w:rsidRDefault="0015688F" w:rsidP="00D76C75">
      <w:pPr>
        <w:rPr>
          <w:b/>
          <w:bCs/>
        </w:rPr>
      </w:pPr>
      <w:r w:rsidRPr="00704E49">
        <w:rPr>
          <w:b/>
          <w:bCs/>
        </w:rPr>
        <w:lastRenderedPageBreak/>
        <w:t>References</w:t>
      </w:r>
    </w:p>
    <w:p w14:paraId="0D7F044B" w14:textId="33401255" w:rsidR="00476715" w:rsidRPr="00704E49" w:rsidRDefault="0015688F" w:rsidP="00476715">
      <w:pPr>
        <w:autoSpaceDE w:val="0"/>
        <w:autoSpaceDN w:val="0"/>
        <w:adjustRightInd w:val="0"/>
        <w:ind w:left="480" w:hanging="480"/>
        <w:rPr>
          <w:rFonts w:ascii="等线" w:eastAsia="等线" w:hAnsi="等线" w:cs="Times New Roman"/>
          <w:noProof/>
          <w:kern w:val="0"/>
          <w:sz w:val="20"/>
        </w:rPr>
      </w:pPr>
      <w:r w:rsidRPr="00704E49">
        <w:fldChar w:fldCharType="begin" w:fldLock="1"/>
      </w:r>
      <w:r w:rsidRPr="00704E49">
        <w:rPr>
          <w:lang w:val="nl-NL"/>
        </w:rPr>
        <w:instrText xml:space="preserve">ADDIN Mendeley Bibliography CSL_BIBLIOGRAPHY </w:instrText>
      </w:r>
      <w:r w:rsidRPr="00704E49">
        <w:fldChar w:fldCharType="separate"/>
      </w:r>
      <w:r w:rsidR="00476715" w:rsidRPr="00704E49">
        <w:rPr>
          <w:rFonts w:ascii="等线" w:eastAsia="等线" w:hAnsi="等线" w:cs="Times New Roman"/>
          <w:noProof/>
          <w:kern w:val="0"/>
          <w:sz w:val="20"/>
        </w:rPr>
        <w:t xml:space="preserve">Alderete, N. M., Joseph, A. M., den Heede, P. Van, Matthys, S., &amp; Belie, N. De. (2021). Effective and sustainable use of municipal solid waste incineration bottom ash in concrete regarding strength and durability. </w:t>
      </w:r>
      <w:r w:rsidR="00476715" w:rsidRPr="00704E49">
        <w:rPr>
          <w:rFonts w:ascii="等线" w:eastAsia="等线" w:hAnsi="等线" w:cs="Times New Roman"/>
          <w:i/>
          <w:iCs/>
          <w:noProof/>
          <w:kern w:val="0"/>
          <w:sz w:val="20"/>
        </w:rPr>
        <w:t>Resources, Conservation and Recycling</w:t>
      </w:r>
      <w:r w:rsidR="00476715" w:rsidRPr="00704E49">
        <w:rPr>
          <w:rFonts w:ascii="等线" w:eastAsia="等线" w:hAnsi="等线" w:cs="Times New Roman"/>
          <w:noProof/>
          <w:kern w:val="0"/>
          <w:sz w:val="20"/>
        </w:rPr>
        <w:t xml:space="preserve">, </w:t>
      </w:r>
      <w:r w:rsidR="00476715" w:rsidRPr="00704E49">
        <w:rPr>
          <w:rFonts w:ascii="等线" w:eastAsia="等线" w:hAnsi="等线" w:cs="Times New Roman"/>
          <w:i/>
          <w:iCs/>
          <w:noProof/>
          <w:kern w:val="0"/>
          <w:sz w:val="20"/>
        </w:rPr>
        <w:t>167</w:t>
      </w:r>
      <w:r w:rsidR="00476715" w:rsidRPr="00704E49">
        <w:rPr>
          <w:rFonts w:ascii="等线" w:eastAsia="等线" w:hAnsi="等线" w:cs="Times New Roman"/>
          <w:noProof/>
          <w:kern w:val="0"/>
          <w:sz w:val="20"/>
        </w:rPr>
        <w:t>. https://doi.org/10.1016/j.resconrec.2020.105356</w:t>
      </w:r>
    </w:p>
    <w:p w14:paraId="5CD46492"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Bertolini, L., Carsana, M., Cassago, D., Curzio, A. Q., &amp; Collepardi, M. (2004). MSWI ashes as mineral additions in concrete. </w:t>
      </w:r>
      <w:r w:rsidRPr="00704E49">
        <w:rPr>
          <w:rFonts w:ascii="等线" w:eastAsia="等线" w:hAnsi="等线" w:cs="Times New Roman"/>
          <w:i/>
          <w:iCs/>
          <w:noProof/>
          <w:kern w:val="0"/>
          <w:sz w:val="20"/>
        </w:rPr>
        <w:t>Cement and Concrete Research</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34</w:t>
      </w:r>
      <w:r w:rsidRPr="00704E49">
        <w:rPr>
          <w:rFonts w:ascii="等线" w:eastAsia="等线" w:hAnsi="等线" w:cs="Times New Roman"/>
          <w:noProof/>
          <w:kern w:val="0"/>
          <w:sz w:val="20"/>
        </w:rPr>
        <w:t>(10), 1899–1906. https://doi.org/10.1016/j.cemconres.2004.02.001</w:t>
      </w:r>
    </w:p>
    <w:p w14:paraId="5B231F23"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Carsana, M., Gastaldi, M., Lollini, F., Redaelli, E., &amp; Bertolini, L. (2016). Improving durability of reinforced concrete structures by recycling wet-ground MSWI bottom ash. </w:t>
      </w:r>
      <w:r w:rsidRPr="00704E49">
        <w:rPr>
          <w:rFonts w:ascii="等线" w:eastAsia="等线" w:hAnsi="等线" w:cs="Times New Roman"/>
          <w:i/>
          <w:iCs/>
          <w:noProof/>
          <w:kern w:val="0"/>
          <w:sz w:val="20"/>
        </w:rPr>
        <w:t>Materials and Corrosion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67</w:t>
      </w:r>
      <w:r w:rsidRPr="00704E49">
        <w:rPr>
          <w:rFonts w:ascii="等线" w:eastAsia="等线" w:hAnsi="等线" w:cs="Times New Roman"/>
          <w:noProof/>
          <w:kern w:val="0"/>
          <w:sz w:val="20"/>
        </w:rPr>
        <w:t>(6), 573–582. https://doi.org/10.1002/maco.201608881</w:t>
      </w:r>
    </w:p>
    <w:p w14:paraId="6D6E6358"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Chen, B., Chen, J., de Mendonça Filho, F. F., Sun, Y., van Zijl, M. B., Copuroglu, O., &amp; Ye, G. (2024). Characterization and mechanical removal of metallic aluminum (Al) embedded in weathered municipal solid waste incineration (MSWI) bottom ash for application as supplementary cementitious material. </w:t>
      </w:r>
      <w:r w:rsidRPr="00704E49">
        <w:rPr>
          <w:rFonts w:ascii="等线" w:eastAsia="等线" w:hAnsi="等线" w:cs="Times New Roman"/>
          <w:i/>
          <w:iCs/>
          <w:noProof/>
          <w:kern w:val="0"/>
          <w:sz w:val="20"/>
        </w:rPr>
        <w:t>Waste Management</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176</w:t>
      </w:r>
      <w:r w:rsidRPr="00704E49">
        <w:rPr>
          <w:rFonts w:ascii="等线" w:eastAsia="等线" w:hAnsi="等线" w:cs="Times New Roman"/>
          <w:noProof/>
          <w:kern w:val="0"/>
          <w:sz w:val="20"/>
        </w:rPr>
        <w:t>, 128–139. https://doi.org/10.1016/j.wasman.2024.01.031</w:t>
      </w:r>
    </w:p>
    <w:p w14:paraId="3EE61ACF"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Chen, B., Perumal, P., Illikainen, M., &amp; Ye, G. (2023). A review on the utilization of municipal solid waste incineration (MSWI) bottom ash as a mineral resource for construction materials. </w:t>
      </w:r>
      <w:r w:rsidRPr="00704E49">
        <w:rPr>
          <w:rFonts w:ascii="等线" w:eastAsia="等线" w:hAnsi="等线" w:cs="Times New Roman"/>
          <w:i/>
          <w:iCs/>
          <w:noProof/>
          <w:kern w:val="0"/>
          <w:sz w:val="20"/>
        </w:rPr>
        <w:t>Journal of Building Engineering</w:t>
      </w:r>
      <w:r w:rsidRPr="00704E49">
        <w:rPr>
          <w:rFonts w:ascii="等线" w:eastAsia="等线" w:hAnsi="等线" w:cs="Times New Roman"/>
          <w:noProof/>
          <w:kern w:val="0"/>
          <w:sz w:val="20"/>
        </w:rPr>
        <w:t>, 106386. https://doi.org/https://doi.org/10.1016/j.jobe.2023.106386</w:t>
      </w:r>
    </w:p>
    <w:p w14:paraId="1C9F4A26"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Chen, B., &amp; Ye, G. (2024). The role of water-treated municipal solid waste incineration (MSWI) bottom ash in microstructure formation and strength development of blended cement pastes. </w:t>
      </w:r>
      <w:r w:rsidRPr="00704E49">
        <w:rPr>
          <w:rFonts w:ascii="等线" w:eastAsia="等线" w:hAnsi="等线" w:cs="Times New Roman"/>
          <w:i/>
          <w:iCs/>
          <w:noProof/>
          <w:kern w:val="0"/>
          <w:sz w:val="20"/>
        </w:rPr>
        <w:t>Cement and Concrete Research</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178</w:t>
      </w:r>
      <w:r w:rsidRPr="00704E49">
        <w:rPr>
          <w:rFonts w:ascii="等线" w:eastAsia="等线" w:hAnsi="等线" w:cs="Times New Roman"/>
          <w:noProof/>
          <w:kern w:val="0"/>
          <w:sz w:val="20"/>
        </w:rPr>
        <w:t>, 107440. https://doi.org/https://doi.org/10.1016/j.cemconres.2024.107440</w:t>
      </w:r>
    </w:p>
    <w:p w14:paraId="25EC4A34"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Chen, D., Zhang, Y., Xu, Y., Nie, Q., Yang, Z., Sheng, W., &amp; Qian, G. (2022). Municipal solid waste incineration residues recycled for typical construction materials—a review. </w:t>
      </w:r>
      <w:r w:rsidRPr="00704E49">
        <w:rPr>
          <w:rFonts w:ascii="等线" w:eastAsia="等线" w:hAnsi="等线" w:cs="Times New Roman"/>
          <w:i/>
          <w:iCs/>
          <w:noProof/>
          <w:kern w:val="0"/>
          <w:sz w:val="20"/>
        </w:rPr>
        <w:t>RSC Advances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12</w:t>
      </w:r>
      <w:r w:rsidRPr="00704E49">
        <w:rPr>
          <w:rFonts w:ascii="等线" w:eastAsia="等线" w:hAnsi="等线" w:cs="Times New Roman"/>
          <w:noProof/>
          <w:kern w:val="0"/>
          <w:sz w:val="20"/>
        </w:rPr>
        <w:t>(10), 6279–6291.</w:t>
      </w:r>
    </w:p>
    <w:p w14:paraId="74E781C8"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Cheng, Y., Dong, Y., Diao, J., Zhang, G., Chen, C., &amp; Wu, D. (2019). MSWI bottom ash application to resist sulfate attack on concrete. </w:t>
      </w:r>
      <w:r w:rsidRPr="00704E49">
        <w:rPr>
          <w:rFonts w:ascii="等线" w:eastAsia="等线" w:hAnsi="等线" w:cs="Times New Roman"/>
          <w:i/>
          <w:iCs/>
          <w:noProof/>
          <w:kern w:val="0"/>
          <w:sz w:val="20"/>
        </w:rPr>
        <w:t>Applied Sciences (Switzerland)</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9</w:t>
      </w:r>
      <w:r w:rsidRPr="00704E49">
        <w:rPr>
          <w:rFonts w:ascii="等线" w:eastAsia="等线" w:hAnsi="等线" w:cs="Times New Roman"/>
          <w:noProof/>
          <w:kern w:val="0"/>
          <w:sz w:val="20"/>
        </w:rPr>
        <w:t>(23). https://doi.org/10.3390/app9235091</w:t>
      </w:r>
    </w:p>
    <w:p w14:paraId="706ACE23"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Cho, B. H., Nam, B. H., An, J., &amp; Youn, H. (2020). Municipal Solid Waste Incineration (MSWI) Ashes as Construction Materials—A Review. </w:t>
      </w:r>
      <w:r w:rsidRPr="00704E49">
        <w:rPr>
          <w:rFonts w:ascii="等线" w:eastAsia="等线" w:hAnsi="等线" w:cs="Times New Roman"/>
          <w:i/>
          <w:iCs/>
          <w:noProof/>
          <w:kern w:val="0"/>
          <w:sz w:val="20"/>
        </w:rPr>
        <w:t>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13</w:t>
      </w:r>
      <w:r w:rsidRPr="00704E49">
        <w:rPr>
          <w:rFonts w:ascii="等线" w:eastAsia="等线" w:hAnsi="等线" w:cs="Times New Roman"/>
          <w:noProof/>
          <w:kern w:val="0"/>
          <w:sz w:val="20"/>
        </w:rPr>
        <w:t>(14). https://doi.org/10.3390/ma13143143</w:t>
      </w:r>
    </w:p>
    <w:p w14:paraId="4C7317EA"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Devahi, P., Rathod, D., &amp; Muthukkumaran, K. (2022). Building material synthesization using municipal solid waste incineration ash: A state-of-the-art review. </w:t>
      </w:r>
      <w:r w:rsidRPr="00704E49">
        <w:rPr>
          <w:rFonts w:ascii="等线" w:eastAsia="等线" w:hAnsi="等线" w:cs="Times New Roman"/>
          <w:i/>
          <w:iCs/>
          <w:noProof/>
          <w:kern w:val="0"/>
          <w:sz w:val="20"/>
        </w:rPr>
        <w:t>Environmental Technology Reviews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11</w:t>
      </w:r>
      <w:r w:rsidRPr="00704E49">
        <w:rPr>
          <w:rFonts w:ascii="等线" w:eastAsia="等线" w:hAnsi="等线" w:cs="Times New Roman"/>
          <w:noProof/>
          <w:kern w:val="0"/>
          <w:sz w:val="20"/>
        </w:rPr>
        <w:t>(1), 33–48. https://doi.org/10.1080/21622515.2021.2024890</w:t>
      </w:r>
    </w:p>
    <w:p w14:paraId="766947F1"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Federal U.S. Environmental Protection Agency. (2024). </w:t>
      </w:r>
      <w:r w:rsidRPr="00704E49">
        <w:rPr>
          <w:rFonts w:ascii="等线" w:eastAsia="等线" w:hAnsi="等线" w:cs="Times New Roman"/>
          <w:i/>
          <w:iCs/>
          <w:noProof/>
          <w:kern w:val="0"/>
          <w:sz w:val="20"/>
        </w:rPr>
        <w:t>40 CFR 261.24: Toxicity characteristic</w:t>
      </w:r>
      <w:r w:rsidRPr="00704E49">
        <w:rPr>
          <w:rFonts w:ascii="等线" w:eastAsia="等线" w:hAnsi="等线" w:cs="Times New Roman"/>
          <w:noProof/>
          <w:kern w:val="0"/>
          <w:sz w:val="20"/>
        </w:rPr>
        <w:t>. https://www.ecfr.gov/current/title-40/chapter-I/subchapter-I/part-261/subpart-C/section-261.24</w:t>
      </w:r>
    </w:p>
    <w:p w14:paraId="3FF9E3E2"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Gong, J., Yu, L., Li, Z., &amp; Shi, X. (2022). Mechanical activation improves reactivity and reduces leaching of municipal solid waste incineration (MSWI) bottom ash in cement hydration system. </w:t>
      </w:r>
      <w:r w:rsidRPr="00704E49">
        <w:rPr>
          <w:rFonts w:ascii="等线" w:eastAsia="等线" w:hAnsi="等线" w:cs="Times New Roman"/>
          <w:i/>
          <w:iCs/>
          <w:noProof/>
          <w:kern w:val="0"/>
          <w:sz w:val="20"/>
        </w:rPr>
        <w:t>Journal of Cleaner Production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363</w:t>
      </w:r>
      <w:r w:rsidRPr="00704E49">
        <w:rPr>
          <w:rFonts w:ascii="等线" w:eastAsia="等线" w:hAnsi="等线" w:cs="Times New Roman"/>
          <w:noProof/>
          <w:kern w:val="0"/>
          <w:sz w:val="20"/>
        </w:rPr>
        <w:t>, 132533. https://doi.org/10.1016/j.jclepro.2022.132533</w:t>
      </w:r>
    </w:p>
    <w:p w14:paraId="70A82E57"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Joseph, Aneeta M, Snellings, R., Van den Heede, P., Matthys, S., &amp; De Belie, N. (2018). The use of municipal solidwaste incineration ash in various building materials: A Belgian point of view. </w:t>
      </w:r>
      <w:r w:rsidRPr="00704E49">
        <w:rPr>
          <w:rFonts w:ascii="等线" w:eastAsia="等线" w:hAnsi="等线" w:cs="Times New Roman"/>
          <w:i/>
          <w:iCs/>
          <w:noProof/>
          <w:kern w:val="0"/>
          <w:sz w:val="20"/>
        </w:rPr>
        <w:t>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11</w:t>
      </w:r>
      <w:r w:rsidRPr="00704E49">
        <w:rPr>
          <w:rFonts w:ascii="等线" w:eastAsia="等线" w:hAnsi="等线" w:cs="Times New Roman"/>
          <w:noProof/>
          <w:kern w:val="0"/>
          <w:sz w:val="20"/>
        </w:rPr>
        <w:t>(1). https://doi.org/10.3390/ma11010141</w:t>
      </w:r>
    </w:p>
    <w:p w14:paraId="7F06A641"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lastRenderedPageBreak/>
        <w:t xml:space="preserve">Joseph, Aneeta Mary, Snellings, R., Nielsen, P., Matthys, S., &amp; Belie, N. De. (2020). Pre-treatment and utilisation of municipal solid waste incineration bottom ashes towards a circular economy.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260</w:t>
      </w:r>
      <w:r w:rsidRPr="00704E49">
        <w:rPr>
          <w:rFonts w:ascii="等线" w:eastAsia="等线" w:hAnsi="等线" w:cs="Times New Roman"/>
          <w:noProof/>
          <w:kern w:val="0"/>
          <w:sz w:val="20"/>
        </w:rPr>
        <w:t>, 120485. https://doi.org/10.1016/j.conbuildmat.2020.120485</w:t>
      </w:r>
    </w:p>
    <w:p w14:paraId="3D25061F"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Juri</w:t>
      </w:r>
      <w:r w:rsidRPr="00704E49">
        <w:rPr>
          <w:rFonts w:ascii="Cambria" w:eastAsia="等线" w:hAnsi="Cambria" w:cs="Cambria"/>
          <w:noProof/>
          <w:kern w:val="0"/>
          <w:sz w:val="20"/>
        </w:rPr>
        <w:t>č</w:t>
      </w:r>
      <w:r w:rsidRPr="00704E49">
        <w:rPr>
          <w:rFonts w:ascii="等线" w:eastAsia="等线" w:hAnsi="等线" w:cs="Times New Roman"/>
          <w:noProof/>
          <w:kern w:val="0"/>
          <w:sz w:val="20"/>
        </w:rPr>
        <w:t>, B., Hanži</w:t>
      </w:r>
      <w:r w:rsidRPr="00704E49">
        <w:rPr>
          <w:rFonts w:ascii="Cambria" w:eastAsia="等线" w:hAnsi="Cambria" w:cs="Cambria"/>
          <w:noProof/>
          <w:kern w:val="0"/>
          <w:sz w:val="20"/>
        </w:rPr>
        <w:t>č</w:t>
      </w:r>
      <w:r w:rsidRPr="00704E49">
        <w:rPr>
          <w:rFonts w:ascii="等线" w:eastAsia="等线" w:hAnsi="等线" w:cs="Times New Roman"/>
          <w:noProof/>
          <w:kern w:val="0"/>
          <w:sz w:val="20"/>
        </w:rPr>
        <w:t>, L., Ili</w:t>
      </w:r>
      <w:r w:rsidRPr="00704E49">
        <w:rPr>
          <w:rFonts w:ascii="Cambria" w:eastAsia="等线" w:hAnsi="Cambria" w:cs="Cambria"/>
          <w:noProof/>
          <w:kern w:val="0"/>
          <w:sz w:val="20"/>
        </w:rPr>
        <w:t>ć</w:t>
      </w:r>
      <w:r w:rsidRPr="00704E49">
        <w:rPr>
          <w:rFonts w:ascii="等线" w:eastAsia="等线" w:hAnsi="等线" w:cs="Times New Roman"/>
          <w:noProof/>
          <w:kern w:val="0"/>
          <w:sz w:val="20"/>
        </w:rPr>
        <w:t xml:space="preserve">, R., &amp; Samec, N. (2006). Utilization of municipal solid waste bottom ash and recycled aggregate in concrete. </w:t>
      </w:r>
      <w:r w:rsidRPr="00704E49">
        <w:rPr>
          <w:rFonts w:ascii="等线" w:eastAsia="等线" w:hAnsi="等线" w:cs="Times New Roman"/>
          <w:i/>
          <w:iCs/>
          <w:noProof/>
          <w:kern w:val="0"/>
          <w:sz w:val="20"/>
        </w:rPr>
        <w:t>Waste Management</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26</w:t>
      </w:r>
      <w:r w:rsidRPr="00704E49">
        <w:rPr>
          <w:rFonts w:ascii="等线" w:eastAsia="等线" w:hAnsi="等线" w:cs="Times New Roman"/>
          <w:noProof/>
          <w:kern w:val="0"/>
          <w:sz w:val="20"/>
        </w:rPr>
        <w:t>(12), 1436–1442. https://doi.org/10.1016/j.wasman.2005.10.016</w:t>
      </w:r>
    </w:p>
    <w:p w14:paraId="5068AC80"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Kim, J., An, J., Nam, B. H., &amp; Tasneem, K. M. (2016). Investigation on the side effects of municipal solid waste incineration ashes when used as mineral addition in cement-based material. </w:t>
      </w:r>
      <w:r w:rsidRPr="00704E49">
        <w:rPr>
          <w:rFonts w:ascii="等线" w:eastAsia="等线" w:hAnsi="等线" w:cs="Times New Roman"/>
          <w:i/>
          <w:iCs/>
          <w:noProof/>
          <w:kern w:val="0"/>
          <w:sz w:val="20"/>
        </w:rPr>
        <w:t>Road Materials and Pavement Design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17</w:t>
      </w:r>
      <w:r w:rsidRPr="00704E49">
        <w:rPr>
          <w:rFonts w:ascii="等线" w:eastAsia="等线" w:hAnsi="等线" w:cs="Times New Roman"/>
          <w:noProof/>
          <w:kern w:val="0"/>
          <w:sz w:val="20"/>
        </w:rPr>
        <w:t>(2), 345–364. https://doi.org/10.1080/14680629.2015.1083463</w:t>
      </w:r>
    </w:p>
    <w:p w14:paraId="5AAE9127"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Kingdom of Denmark. (2016). </w:t>
      </w:r>
      <w:r w:rsidRPr="00704E49">
        <w:rPr>
          <w:rFonts w:ascii="等线" w:eastAsia="等线" w:hAnsi="等线" w:cs="Times New Roman"/>
          <w:i/>
          <w:iCs/>
          <w:noProof/>
          <w:kern w:val="0"/>
          <w:sz w:val="20"/>
        </w:rPr>
        <w:t>BEK nr 1672 af 15/12/2016. Bekendtgørelse om anvendelse af restprodukter, jord og sorteret bygge- oganlægsaffald, Denmark.</w:t>
      </w:r>
    </w:p>
    <w:p w14:paraId="76035929"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Kumar, S., &amp; Singh, D. (2021). Municipal solid waste incineration bottom ash: a competent raw material with new possibilities. </w:t>
      </w:r>
      <w:r w:rsidRPr="00704E49">
        <w:rPr>
          <w:rFonts w:ascii="等线" w:eastAsia="等线" w:hAnsi="等线" w:cs="Times New Roman"/>
          <w:i/>
          <w:iCs/>
          <w:noProof/>
          <w:kern w:val="0"/>
          <w:sz w:val="20"/>
        </w:rPr>
        <w:t>Innovative Infrastructure Solutions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6</w:t>
      </w:r>
      <w:r w:rsidRPr="00704E49">
        <w:rPr>
          <w:rFonts w:ascii="等线" w:eastAsia="等线" w:hAnsi="等线" w:cs="Times New Roman"/>
          <w:noProof/>
          <w:kern w:val="0"/>
          <w:sz w:val="20"/>
        </w:rPr>
        <w:t>, 1–15.</w:t>
      </w:r>
    </w:p>
    <w:p w14:paraId="79806B7C"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Li, X. G., Lv, Y., Ma, B. G., Chen, Q. Bin, Yin, X. B., &amp; Jian, S. W. (2012). Utilization of municipal solid waste incineration bottom ash in blended cement. </w:t>
      </w:r>
      <w:r w:rsidRPr="00704E49">
        <w:rPr>
          <w:rFonts w:ascii="等线" w:eastAsia="等线" w:hAnsi="等线" w:cs="Times New Roman"/>
          <w:i/>
          <w:iCs/>
          <w:noProof/>
          <w:kern w:val="0"/>
          <w:sz w:val="20"/>
        </w:rPr>
        <w:t>Journal of Cleaner Production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32</w:t>
      </w:r>
      <w:r w:rsidRPr="00704E49">
        <w:rPr>
          <w:rFonts w:ascii="等线" w:eastAsia="等线" w:hAnsi="等线" w:cs="Times New Roman"/>
          <w:noProof/>
          <w:kern w:val="0"/>
          <w:sz w:val="20"/>
        </w:rPr>
        <w:t>, 96–100. https://doi.org/10.1016/j.jclepro.2012.03.038</w:t>
      </w:r>
    </w:p>
    <w:p w14:paraId="4EA85BF9"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Lin, K. L., Chang, W. C., &amp; Lin, D. F. (2008). Pozzolanic characteristics of pulverized incinerator bottom ash slag.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22</w:t>
      </w:r>
      <w:r w:rsidRPr="00704E49">
        <w:rPr>
          <w:rFonts w:ascii="等线" w:eastAsia="等线" w:hAnsi="等线" w:cs="Times New Roman"/>
          <w:noProof/>
          <w:kern w:val="0"/>
          <w:sz w:val="20"/>
        </w:rPr>
        <w:t>(3), 324–329. https://doi.org/10.1016/j.conbuildmat.2006.08.012</w:t>
      </w:r>
    </w:p>
    <w:p w14:paraId="2BDD36E6"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Lin, K. L., &amp; Lin, D. F. (2006). Hydration characteristics of municipal solid waste incinerator bottom ash slag as a pozzolanic material for use in cement. </w:t>
      </w:r>
      <w:r w:rsidRPr="00704E49">
        <w:rPr>
          <w:rFonts w:ascii="等线" w:eastAsia="等线" w:hAnsi="等线" w:cs="Times New Roman"/>
          <w:i/>
          <w:iCs/>
          <w:noProof/>
          <w:kern w:val="0"/>
          <w:sz w:val="20"/>
        </w:rPr>
        <w:t>Cement and Concrete Composites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28</w:t>
      </w:r>
      <w:r w:rsidRPr="00704E49">
        <w:rPr>
          <w:rFonts w:ascii="等线" w:eastAsia="等线" w:hAnsi="等线" w:cs="Times New Roman"/>
          <w:noProof/>
          <w:kern w:val="0"/>
          <w:sz w:val="20"/>
        </w:rPr>
        <w:t>(9), 817–823. https://doi.org/10.1016/j.cemconcomp.2006.03.003</w:t>
      </w:r>
    </w:p>
    <w:p w14:paraId="608FEE6B"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Liu, Y., Sidhu, K. S., Chen, Z., &amp; Yang, E. H. (2018). Alkali-treated incineration bottom ash as supplementary cementitious materials.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179</w:t>
      </w:r>
      <w:r w:rsidRPr="00704E49">
        <w:rPr>
          <w:rFonts w:ascii="等线" w:eastAsia="等线" w:hAnsi="等线" w:cs="Times New Roman"/>
          <w:noProof/>
          <w:kern w:val="0"/>
          <w:sz w:val="20"/>
        </w:rPr>
        <w:t>, 371–378. https://doi.org/10.1016/j.conbuildmat.2018.05.231</w:t>
      </w:r>
    </w:p>
    <w:p w14:paraId="0CBA690C"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Lo, F. C., Lo, S. L., &amp; Lee, M. G. (2020). Effect of partially replacing ordinary Portland cement with municipal solid waste incinerator ashes and rice husk ashes on pervious concrete quality. </w:t>
      </w:r>
      <w:r w:rsidRPr="00704E49">
        <w:rPr>
          <w:rFonts w:ascii="等线" w:eastAsia="等线" w:hAnsi="等线" w:cs="Times New Roman"/>
          <w:i/>
          <w:iCs/>
          <w:noProof/>
          <w:kern w:val="0"/>
          <w:sz w:val="20"/>
        </w:rPr>
        <w:t>Environmental Science and Pollution Research</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27</w:t>
      </w:r>
      <w:r w:rsidRPr="00704E49">
        <w:rPr>
          <w:rFonts w:ascii="等线" w:eastAsia="等线" w:hAnsi="等线" w:cs="Times New Roman"/>
          <w:noProof/>
          <w:kern w:val="0"/>
          <w:sz w:val="20"/>
        </w:rPr>
        <w:t>(19), 23742–23760. https://doi.org/10.1007/S11356-020-08796-Z</w:t>
      </w:r>
    </w:p>
    <w:p w14:paraId="665CB398"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Loginova, E., Schollbach, K., Proskurnin, M., &amp; Brouwers, H. J. H. (2021). Municipal solid waste incineration bottom ash fines: Transformation into a minor additional constituent for cements. </w:t>
      </w:r>
      <w:r w:rsidRPr="00704E49">
        <w:rPr>
          <w:rFonts w:ascii="等线" w:eastAsia="等线" w:hAnsi="等线" w:cs="Times New Roman"/>
          <w:i/>
          <w:iCs/>
          <w:noProof/>
          <w:kern w:val="0"/>
          <w:sz w:val="20"/>
        </w:rPr>
        <w:t>Resources, Conservation and Recycling</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166</w:t>
      </w:r>
      <w:r w:rsidRPr="00704E49">
        <w:rPr>
          <w:rFonts w:ascii="等线" w:eastAsia="等线" w:hAnsi="等线" w:cs="Times New Roman"/>
          <w:noProof/>
          <w:kern w:val="0"/>
          <w:sz w:val="20"/>
        </w:rPr>
        <w:t>. https://doi.org/10.1016/j.resconrec.2020.105354</w:t>
      </w:r>
    </w:p>
    <w:p w14:paraId="0D62BDF1"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Lu, J.-W., Zhang, S., Hai, J., &amp; Lei, M. (2017). Status and perspectives of municipal solid waste incineration in China: A comparison with developed regions. </w:t>
      </w:r>
      <w:r w:rsidRPr="00704E49">
        <w:rPr>
          <w:rFonts w:ascii="等线" w:eastAsia="等线" w:hAnsi="等线" w:cs="Times New Roman"/>
          <w:i/>
          <w:iCs/>
          <w:noProof/>
          <w:kern w:val="0"/>
          <w:sz w:val="20"/>
        </w:rPr>
        <w:t>Waste Management</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69</w:t>
      </w:r>
      <w:r w:rsidRPr="00704E49">
        <w:rPr>
          <w:rFonts w:ascii="等线" w:eastAsia="等线" w:hAnsi="等线" w:cs="Times New Roman"/>
          <w:noProof/>
          <w:kern w:val="0"/>
          <w:sz w:val="20"/>
        </w:rPr>
        <w:t>, 170–186. https://doi.org/https://doi.org/10.1016/j.wasman.2017.04.014</w:t>
      </w:r>
    </w:p>
    <w:p w14:paraId="201D735C"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Ministry of Ecology and Environment of the People’s Republic of China. (2007). </w:t>
      </w:r>
      <w:r w:rsidRPr="00704E49">
        <w:rPr>
          <w:rFonts w:ascii="等线" w:eastAsia="等线" w:hAnsi="等线" w:cs="Times New Roman"/>
          <w:i/>
          <w:iCs/>
          <w:noProof/>
          <w:kern w:val="0"/>
          <w:sz w:val="20"/>
        </w:rPr>
        <w:t>Solid waste-Extraction procedure for leaching toxicity-Sulphuric acid &amp; nitric acid method, HJ/T 299</w:t>
      </w:r>
      <w:r w:rsidRPr="00704E49">
        <w:rPr>
          <w:rFonts w:ascii="等线" w:eastAsia="等线" w:hAnsi="等线" w:cs="Times New Roman"/>
          <w:noProof/>
          <w:kern w:val="0"/>
          <w:sz w:val="20"/>
        </w:rPr>
        <w:t>.</w:t>
      </w:r>
    </w:p>
    <w:p w14:paraId="24DF5BBA"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Ministry of Environment. (2018). </w:t>
      </w:r>
      <w:r w:rsidRPr="00704E49">
        <w:rPr>
          <w:rFonts w:ascii="等线" w:eastAsia="等线" w:hAnsi="等线" w:cs="Times New Roman"/>
          <w:i/>
          <w:iCs/>
          <w:noProof/>
          <w:kern w:val="0"/>
          <w:sz w:val="20"/>
        </w:rPr>
        <w:t>Taiwan EPA Laws and Regulation Retrieving System (2018b)</w:t>
      </w:r>
      <w:r w:rsidRPr="00704E49">
        <w:rPr>
          <w:rFonts w:ascii="等线" w:eastAsia="等线" w:hAnsi="等线" w:cs="Times New Roman"/>
          <w:noProof/>
          <w:kern w:val="0"/>
          <w:sz w:val="20"/>
        </w:rPr>
        <w:t>.</w:t>
      </w:r>
    </w:p>
    <w:p w14:paraId="27CEB71A"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Ministry of Infrastructure and Water Management. (2022). </w:t>
      </w:r>
      <w:r w:rsidRPr="00704E49">
        <w:rPr>
          <w:rFonts w:ascii="等线" w:eastAsia="等线" w:hAnsi="等线" w:cs="Times New Roman"/>
          <w:i/>
          <w:iCs/>
          <w:noProof/>
          <w:kern w:val="0"/>
          <w:sz w:val="20"/>
        </w:rPr>
        <w:t>Soil Quality Decree</w:t>
      </w:r>
      <w:r w:rsidRPr="00704E49">
        <w:rPr>
          <w:rFonts w:ascii="等线" w:eastAsia="等线" w:hAnsi="等线" w:cs="Times New Roman"/>
          <w:noProof/>
          <w:kern w:val="0"/>
          <w:sz w:val="20"/>
        </w:rPr>
        <w:t>. https://wetten.overheid.nl/BWBR0047808/2025-05-21#BijlageA</w:t>
      </w:r>
    </w:p>
    <w:p w14:paraId="405333B1"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Republic of Austria. (2024). </w:t>
      </w:r>
      <w:r w:rsidRPr="00704E49">
        <w:rPr>
          <w:rFonts w:ascii="等线" w:eastAsia="等线" w:hAnsi="等线" w:cs="Times New Roman"/>
          <w:i/>
          <w:iCs/>
          <w:noProof/>
          <w:kern w:val="0"/>
          <w:sz w:val="20"/>
        </w:rPr>
        <w:t>Recycling-Baustoffverordnung</w:t>
      </w:r>
      <w:r w:rsidRPr="00704E49">
        <w:rPr>
          <w:rFonts w:ascii="等线" w:eastAsia="等线" w:hAnsi="等线" w:cs="Times New Roman"/>
          <w:noProof/>
          <w:kern w:val="0"/>
          <w:sz w:val="20"/>
        </w:rPr>
        <w:t>. Federal Legal Information System (RIS).</w:t>
      </w:r>
    </w:p>
    <w:p w14:paraId="52F2DF92"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lastRenderedPageBreak/>
        <w:t xml:space="preserve">Republic of Slovenia. (2022). </w:t>
      </w:r>
      <w:r w:rsidRPr="00704E49">
        <w:rPr>
          <w:rFonts w:ascii="等线" w:eastAsia="等线" w:hAnsi="等线" w:cs="Times New Roman"/>
          <w:i/>
          <w:iCs/>
          <w:noProof/>
          <w:kern w:val="0"/>
          <w:sz w:val="20"/>
        </w:rPr>
        <w:t>Decree on Waste</w:t>
      </w:r>
      <w:r w:rsidRPr="00704E49">
        <w:rPr>
          <w:rFonts w:ascii="等线" w:eastAsia="等线" w:hAnsi="等线" w:cs="Times New Roman"/>
          <w:noProof/>
          <w:kern w:val="0"/>
          <w:sz w:val="20"/>
        </w:rPr>
        <w:t xml:space="preserve"> (Nos. 37/15). Official Gazette of Republic Slovenia.</w:t>
      </w:r>
    </w:p>
    <w:p w14:paraId="4A77CED0"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Silva, R. V, de Brito, J., Lynn, C. J., &amp; Dhir, R. K. (2019). Environmental impacts of the use of bottom ashes from municipal solid waste incineration: A review. </w:t>
      </w:r>
      <w:r w:rsidRPr="00704E49">
        <w:rPr>
          <w:rFonts w:ascii="等线" w:eastAsia="等线" w:hAnsi="等线" w:cs="Times New Roman"/>
          <w:i/>
          <w:iCs/>
          <w:noProof/>
          <w:kern w:val="0"/>
          <w:sz w:val="20"/>
        </w:rPr>
        <w:t>Resources, Conservation and Recycling</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140</w:t>
      </w:r>
      <w:r w:rsidRPr="00704E49">
        <w:rPr>
          <w:rFonts w:ascii="等线" w:eastAsia="等线" w:hAnsi="等线" w:cs="Times New Roman"/>
          <w:noProof/>
          <w:kern w:val="0"/>
          <w:sz w:val="20"/>
        </w:rPr>
        <w:t>, 23–35. https://doi.org/https://doi.org/10.1016/j.resconrec.2018.09.011</w:t>
      </w:r>
    </w:p>
    <w:p w14:paraId="7145D52E"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Simões, B., da Silva, P. R., Silva, R. V, Avila, Y., &amp; Forero, J. A. (2021). Ternary mixes of self-compacting concrete with fly ash and municipal solid waste incinerator bottom ash. </w:t>
      </w:r>
      <w:r w:rsidRPr="00704E49">
        <w:rPr>
          <w:rFonts w:ascii="等线" w:eastAsia="等线" w:hAnsi="等线" w:cs="Times New Roman"/>
          <w:i/>
          <w:iCs/>
          <w:noProof/>
          <w:kern w:val="0"/>
          <w:sz w:val="20"/>
        </w:rPr>
        <w:t>Applied Sciences (Switzerland)</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11</w:t>
      </w:r>
      <w:r w:rsidRPr="00704E49">
        <w:rPr>
          <w:rFonts w:ascii="等线" w:eastAsia="等线" w:hAnsi="等线" w:cs="Times New Roman"/>
          <w:noProof/>
          <w:kern w:val="0"/>
          <w:sz w:val="20"/>
        </w:rPr>
        <w:t>(1), 1–17. https://doi.org/10.3390/app11010107</w:t>
      </w:r>
    </w:p>
    <w:p w14:paraId="1F103AD4"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Singapore National Environment Agency. (1988). </w:t>
      </w:r>
      <w:r w:rsidRPr="00704E49">
        <w:rPr>
          <w:rFonts w:ascii="等线" w:eastAsia="等线" w:hAnsi="等线" w:cs="Times New Roman"/>
          <w:i/>
          <w:iCs/>
          <w:noProof/>
          <w:kern w:val="0"/>
          <w:sz w:val="20"/>
        </w:rPr>
        <w:t>Leaching Test - Recommended Acceptance Criteria for Suitability of Industrial Wastes for Landfill Disposal</w:t>
      </w:r>
      <w:r w:rsidRPr="00704E49">
        <w:rPr>
          <w:rFonts w:ascii="等线" w:eastAsia="等线" w:hAnsi="等线" w:cs="Times New Roman"/>
          <w:noProof/>
          <w:kern w:val="0"/>
          <w:sz w:val="20"/>
        </w:rPr>
        <w:t>. https://www.nea.gov.sg/docs/default-source/e-services-forms-docs/licences-permits-building-plan-clearances/leaching-test.pdf</w:t>
      </w:r>
    </w:p>
    <w:p w14:paraId="4CAD86E5"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Snellings, R., Suraneni, P., &amp; Skibsted, J. (2023). Future and emerging supplementary cementitious materials. </w:t>
      </w:r>
      <w:r w:rsidRPr="00704E49">
        <w:rPr>
          <w:rFonts w:ascii="等线" w:eastAsia="等线" w:hAnsi="等线" w:cs="Times New Roman"/>
          <w:i/>
          <w:iCs/>
          <w:noProof/>
          <w:kern w:val="0"/>
          <w:sz w:val="20"/>
        </w:rPr>
        <w:t>Cement and Concrete Research</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171</w:t>
      </w:r>
      <w:r w:rsidRPr="00704E49">
        <w:rPr>
          <w:rFonts w:ascii="等线" w:eastAsia="等线" w:hAnsi="等线" w:cs="Times New Roman"/>
          <w:noProof/>
          <w:kern w:val="0"/>
          <w:sz w:val="20"/>
        </w:rPr>
        <w:t>, 107199. https://doi.org/https://doi.org/10.1016/j.cemconres.2023.107199</w:t>
      </w:r>
    </w:p>
    <w:p w14:paraId="381CDBA7"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Sun, Y., Chen, B., Zhang, S., Blom, K., Lukovi</w:t>
      </w:r>
      <w:r w:rsidRPr="00704E49">
        <w:rPr>
          <w:rFonts w:ascii="Cambria" w:eastAsia="等线" w:hAnsi="Cambria" w:cs="Cambria"/>
          <w:noProof/>
          <w:kern w:val="0"/>
          <w:sz w:val="20"/>
        </w:rPr>
        <w:t>ć</w:t>
      </w:r>
      <w:r w:rsidRPr="00704E49">
        <w:rPr>
          <w:rFonts w:ascii="等线" w:eastAsia="等线" w:hAnsi="等线" w:cs="Times New Roman"/>
          <w:noProof/>
          <w:kern w:val="0"/>
          <w:sz w:val="20"/>
        </w:rPr>
        <w:t xml:space="preserve">, M., &amp; Ye, G. (2024). Characterization, pre-treatment, and potential applications of fine MSWI bottom ash as a supplementary cementitious material.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421</w:t>
      </w:r>
      <w:r w:rsidRPr="00704E49">
        <w:rPr>
          <w:rFonts w:ascii="等线" w:eastAsia="等线" w:hAnsi="等线" w:cs="Times New Roman"/>
          <w:noProof/>
          <w:kern w:val="0"/>
          <w:sz w:val="20"/>
        </w:rPr>
        <w:t>, 135769. https://doi.org/https://doi.org/10.1016/j.conbuildmat.2024.135769</w:t>
      </w:r>
    </w:p>
    <w:p w14:paraId="4623750D"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Tang, P, Florea, M. V. A., Spiesz, P., &amp; Brouwers, H. J. H. (2016). Application of thermally activated municipal solid waste incineration (MSWI) bottom ash fines as binder substitute. </w:t>
      </w:r>
      <w:r w:rsidRPr="00704E49">
        <w:rPr>
          <w:rFonts w:ascii="等线" w:eastAsia="等线" w:hAnsi="等线" w:cs="Times New Roman"/>
          <w:i/>
          <w:iCs/>
          <w:noProof/>
          <w:kern w:val="0"/>
          <w:sz w:val="20"/>
        </w:rPr>
        <w:t>Cement and Concrete Composites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70</w:t>
      </w:r>
      <w:r w:rsidRPr="00704E49">
        <w:rPr>
          <w:rFonts w:ascii="等线" w:eastAsia="等线" w:hAnsi="等线" w:cs="Times New Roman"/>
          <w:noProof/>
          <w:kern w:val="0"/>
          <w:sz w:val="20"/>
        </w:rPr>
        <w:t>, 194–205. https://doi.org/10.1016/j.cemconcomp.2016.03.015</w:t>
      </w:r>
    </w:p>
    <w:p w14:paraId="594E5654"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Tang, Pei, Chen, W., Xuan, D., Zuo, Y., &amp; Poon, C. S. (2020). Investigation of cementitious properties of different constituents in municipal solid waste incineration bottom ash as supplementary cementitious materials. </w:t>
      </w:r>
      <w:r w:rsidRPr="00704E49">
        <w:rPr>
          <w:rFonts w:ascii="等线" w:eastAsia="等线" w:hAnsi="等线" w:cs="Times New Roman"/>
          <w:i/>
          <w:iCs/>
          <w:noProof/>
          <w:kern w:val="0"/>
          <w:sz w:val="20"/>
        </w:rPr>
        <w:t>Journal of Cleaner Production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258</w:t>
      </w:r>
      <w:r w:rsidRPr="00704E49">
        <w:rPr>
          <w:rFonts w:ascii="等线" w:eastAsia="等线" w:hAnsi="等线" w:cs="Times New Roman"/>
          <w:noProof/>
          <w:kern w:val="0"/>
          <w:sz w:val="20"/>
        </w:rPr>
        <w:t>. https://doi.org/10.1016/j.jclepro.2020.120675</w:t>
      </w:r>
    </w:p>
    <w:p w14:paraId="2D52AFDB"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Verbinnen, B., Billen, P., Caneghem, J. Van, &amp; Vandecasteele, C. (2017). Recycling of MSWI Bottom Ash: A Review of Chemical Barriers, Engineering Applications and Treatment Technologies. </w:t>
      </w:r>
      <w:r w:rsidRPr="00704E49">
        <w:rPr>
          <w:rFonts w:ascii="等线" w:eastAsia="等线" w:hAnsi="等线" w:cs="Times New Roman"/>
          <w:i/>
          <w:iCs/>
          <w:noProof/>
          <w:kern w:val="0"/>
          <w:sz w:val="20"/>
        </w:rPr>
        <w:t>Waste and Biomass Valorization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8</w:t>
      </w:r>
      <w:r w:rsidRPr="00704E49">
        <w:rPr>
          <w:rFonts w:ascii="等线" w:eastAsia="等线" w:hAnsi="等线" w:cs="Times New Roman"/>
          <w:noProof/>
          <w:kern w:val="0"/>
          <w:sz w:val="20"/>
        </w:rPr>
        <w:t>(5), 1453–1466. https://doi.org/10.1007/s12649-016-9704-0</w:t>
      </w:r>
    </w:p>
    <w:p w14:paraId="58312825"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Vlaamse overheid. (2024). </w:t>
      </w:r>
      <w:r w:rsidRPr="00704E49">
        <w:rPr>
          <w:rFonts w:ascii="等线" w:eastAsia="等线" w:hAnsi="等线" w:cs="Times New Roman"/>
          <w:i/>
          <w:iCs/>
          <w:noProof/>
          <w:kern w:val="0"/>
          <w:sz w:val="20"/>
        </w:rPr>
        <w:t>Vlarema 9 wijzigingen voor grondstofverklaringen</w:t>
      </w:r>
      <w:r w:rsidRPr="00704E49">
        <w:rPr>
          <w:rFonts w:ascii="等线" w:eastAsia="等线" w:hAnsi="等线" w:cs="Times New Roman"/>
          <w:noProof/>
          <w:kern w:val="0"/>
          <w:sz w:val="20"/>
        </w:rPr>
        <w:t xml:space="preserve"> (9th amendm). Belgisch Staatsblad.</w:t>
      </w:r>
    </w:p>
    <w:p w14:paraId="70DDE722"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Wongsa, A., Boonserm, K., Waisurasingha, C., Sata, V., &amp; Chindaprasirt, P. (2017). Use of municipal solid waste incinerator (MSWI) bottom ash in high calcium fly ash geopolymer matrix. </w:t>
      </w:r>
      <w:r w:rsidRPr="00704E49">
        <w:rPr>
          <w:rFonts w:ascii="等线" w:eastAsia="等线" w:hAnsi="等线" w:cs="Times New Roman"/>
          <w:i/>
          <w:iCs/>
          <w:noProof/>
          <w:kern w:val="0"/>
          <w:sz w:val="20"/>
        </w:rPr>
        <w:t>Journal of Cleaner Production</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148</w:t>
      </w:r>
      <w:r w:rsidRPr="00704E49">
        <w:rPr>
          <w:rFonts w:ascii="等线" w:eastAsia="等线" w:hAnsi="等线" w:cs="Times New Roman"/>
          <w:noProof/>
          <w:kern w:val="0"/>
          <w:sz w:val="20"/>
        </w:rPr>
        <w:t>, 49–59. https://doi.org/10.1016/j.jclepro.2017.01.147</w:t>
      </w:r>
    </w:p>
    <w:p w14:paraId="0BF8FF70"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Yang, Z., Ji, R., Liu, L., Wang, X., &amp; Zhang, Z. (2018). Recycling of municipal solid waste incineration by-product for cement composites preparation.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162</w:t>
      </w:r>
      <w:r w:rsidRPr="00704E49">
        <w:rPr>
          <w:rFonts w:ascii="等线" w:eastAsia="等线" w:hAnsi="等线" w:cs="Times New Roman"/>
          <w:noProof/>
          <w:kern w:val="0"/>
          <w:sz w:val="20"/>
        </w:rPr>
        <w:t>, 794–801. https://doi.org/10.1016/j.conbuildmat.2017.12.081</w:t>
      </w:r>
    </w:p>
    <w:p w14:paraId="6A6C175E" w14:textId="77777777" w:rsidR="00476715" w:rsidRPr="00704E49" w:rsidRDefault="00476715" w:rsidP="00476715">
      <w:pPr>
        <w:autoSpaceDE w:val="0"/>
        <w:autoSpaceDN w:val="0"/>
        <w:adjustRightInd w:val="0"/>
        <w:ind w:left="480" w:hanging="480"/>
        <w:rPr>
          <w:rFonts w:ascii="等线" w:eastAsia="等线" w:hAnsi="等线" w:cs="Times New Roman"/>
          <w:noProof/>
          <w:kern w:val="0"/>
          <w:sz w:val="20"/>
        </w:rPr>
      </w:pPr>
      <w:r w:rsidRPr="00704E49">
        <w:rPr>
          <w:rFonts w:ascii="等线" w:eastAsia="等线" w:hAnsi="等线" w:cs="Times New Roman"/>
          <w:noProof/>
          <w:kern w:val="0"/>
          <w:sz w:val="20"/>
        </w:rPr>
        <w:t xml:space="preserve">Yang, Z., Tian, S., Liu, L., Wang, X., &amp; Zhang, Z. (2018). Recycling ground MSWI bottom ash in cement composites: Long-term environmental impacts. </w:t>
      </w:r>
      <w:r w:rsidRPr="00704E49">
        <w:rPr>
          <w:rFonts w:ascii="等线" w:eastAsia="等线" w:hAnsi="等线" w:cs="Times New Roman"/>
          <w:i/>
          <w:iCs/>
          <w:noProof/>
          <w:kern w:val="0"/>
          <w:sz w:val="20"/>
        </w:rPr>
        <w:t>Waste Management</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78</w:t>
      </w:r>
      <w:r w:rsidRPr="00704E49">
        <w:rPr>
          <w:rFonts w:ascii="等线" w:eastAsia="等线" w:hAnsi="等线" w:cs="Times New Roman"/>
          <w:noProof/>
          <w:kern w:val="0"/>
          <w:sz w:val="20"/>
        </w:rPr>
        <w:t>, 841–848. https://doi.org/10.1016/j.wasman.2018.07.002</w:t>
      </w:r>
    </w:p>
    <w:p w14:paraId="4FC96D61" w14:textId="77777777" w:rsidR="00476715" w:rsidRPr="00704E49" w:rsidRDefault="00476715" w:rsidP="00476715">
      <w:pPr>
        <w:autoSpaceDE w:val="0"/>
        <w:autoSpaceDN w:val="0"/>
        <w:adjustRightInd w:val="0"/>
        <w:ind w:left="480" w:hanging="480"/>
        <w:rPr>
          <w:rFonts w:ascii="等线" w:eastAsia="等线" w:hAnsi="等线"/>
          <w:noProof/>
          <w:sz w:val="20"/>
        </w:rPr>
      </w:pPr>
      <w:r w:rsidRPr="00704E49">
        <w:rPr>
          <w:rFonts w:ascii="等线" w:eastAsia="等线" w:hAnsi="等线" w:cs="Times New Roman"/>
          <w:noProof/>
          <w:kern w:val="0"/>
          <w:sz w:val="20"/>
        </w:rPr>
        <w:t xml:space="preserve">Zhang, S., Ghouleh, Z., He, Z., Hu, L., &amp; Shao, Y. (2021). Use of municipal solid waste incineration bottom ash as a supplementary cementitious material in dry-cast concrete. </w:t>
      </w:r>
      <w:r w:rsidRPr="00704E49">
        <w:rPr>
          <w:rFonts w:ascii="等线" w:eastAsia="等线" w:hAnsi="等线" w:cs="Times New Roman"/>
          <w:i/>
          <w:iCs/>
          <w:noProof/>
          <w:kern w:val="0"/>
          <w:sz w:val="20"/>
        </w:rPr>
        <w:t>Construction and Building Materials</w:t>
      </w:r>
      <w:r w:rsidRPr="00704E49">
        <w:rPr>
          <w:rFonts w:ascii="等线" w:eastAsia="等线" w:hAnsi="等线" w:cs="Times New Roman"/>
          <w:noProof/>
          <w:kern w:val="0"/>
          <w:sz w:val="20"/>
        </w:rPr>
        <w:t xml:space="preserve">, </w:t>
      </w:r>
      <w:r w:rsidRPr="00704E49">
        <w:rPr>
          <w:rFonts w:ascii="等线" w:eastAsia="等线" w:hAnsi="等线" w:cs="Times New Roman"/>
          <w:i/>
          <w:iCs/>
          <w:noProof/>
          <w:kern w:val="0"/>
          <w:sz w:val="20"/>
        </w:rPr>
        <w:t>266</w:t>
      </w:r>
      <w:r w:rsidRPr="00704E49">
        <w:rPr>
          <w:rFonts w:ascii="等线" w:eastAsia="等线" w:hAnsi="等线" w:cs="Times New Roman"/>
          <w:noProof/>
          <w:kern w:val="0"/>
          <w:sz w:val="20"/>
        </w:rPr>
        <w:t>. https://doi.org/10.1016/j.conbuildmat.2020.120890</w:t>
      </w:r>
    </w:p>
    <w:p w14:paraId="343E19D2" w14:textId="139BC803" w:rsidR="0015688F" w:rsidRPr="00D76C75" w:rsidRDefault="0015688F" w:rsidP="00D76C75">
      <w:r w:rsidRPr="00704E49">
        <w:fldChar w:fldCharType="end"/>
      </w:r>
    </w:p>
    <w:sectPr w:rsidR="0015688F" w:rsidRPr="00D76C75" w:rsidSect="00D76C75">
      <w:pgSz w:w="16838" w:h="11906" w:orient="landscape"/>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C00EE"/>
    <w:multiLevelType w:val="hybridMultilevel"/>
    <w:tmpl w:val="9F9819E6"/>
    <w:lvl w:ilvl="0" w:tplc="04090001">
      <w:start w:val="1"/>
      <w:numFmt w:val="bullet"/>
      <w:lvlText w:val=""/>
      <w:lvlJc w:val="left"/>
      <w:pPr>
        <w:ind w:left="9370" w:hanging="440"/>
      </w:pPr>
      <w:rPr>
        <w:rFonts w:ascii="Wingdings" w:hAnsi="Wingdings" w:hint="default"/>
      </w:rPr>
    </w:lvl>
    <w:lvl w:ilvl="1" w:tplc="04090003" w:tentative="1">
      <w:start w:val="1"/>
      <w:numFmt w:val="bullet"/>
      <w:lvlText w:val=""/>
      <w:lvlJc w:val="left"/>
      <w:pPr>
        <w:ind w:left="9810" w:hanging="440"/>
      </w:pPr>
      <w:rPr>
        <w:rFonts w:ascii="Wingdings" w:hAnsi="Wingdings" w:hint="default"/>
      </w:rPr>
    </w:lvl>
    <w:lvl w:ilvl="2" w:tplc="04090005" w:tentative="1">
      <w:start w:val="1"/>
      <w:numFmt w:val="bullet"/>
      <w:lvlText w:val=""/>
      <w:lvlJc w:val="left"/>
      <w:pPr>
        <w:ind w:left="10250" w:hanging="440"/>
      </w:pPr>
      <w:rPr>
        <w:rFonts w:ascii="Wingdings" w:hAnsi="Wingdings" w:hint="default"/>
      </w:rPr>
    </w:lvl>
    <w:lvl w:ilvl="3" w:tplc="04090001" w:tentative="1">
      <w:start w:val="1"/>
      <w:numFmt w:val="bullet"/>
      <w:lvlText w:val=""/>
      <w:lvlJc w:val="left"/>
      <w:pPr>
        <w:ind w:left="10690" w:hanging="440"/>
      </w:pPr>
      <w:rPr>
        <w:rFonts w:ascii="Wingdings" w:hAnsi="Wingdings" w:hint="default"/>
      </w:rPr>
    </w:lvl>
    <w:lvl w:ilvl="4" w:tplc="04090003" w:tentative="1">
      <w:start w:val="1"/>
      <w:numFmt w:val="bullet"/>
      <w:lvlText w:val=""/>
      <w:lvlJc w:val="left"/>
      <w:pPr>
        <w:ind w:left="11130" w:hanging="440"/>
      </w:pPr>
      <w:rPr>
        <w:rFonts w:ascii="Wingdings" w:hAnsi="Wingdings" w:hint="default"/>
      </w:rPr>
    </w:lvl>
    <w:lvl w:ilvl="5" w:tplc="04090005" w:tentative="1">
      <w:start w:val="1"/>
      <w:numFmt w:val="bullet"/>
      <w:lvlText w:val=""/>
      <w:lvlJc w:val="left"/>
      <w:pPr>
        <w:ind w:left="11570" w:hanging="440"/>
      </w:pPr>
      <w:rPr>
        <w:rFonts w:ascii="Wingdings" w:hAnsi="Wingdings" w:hint="default"/>
      </w:rPr>
    </w:lvl>
    <w:lvl w:ilvl="6" w:tplc="04090001" w:tentative="1">
      <w:start w:val="1"/>
      <w:numFmt w:val="bullet"/>
      <w:lvlText w:val=""/>
      <w:lvlJc w:val="left"/>
      <w:pPr>
        <w:ind w:left="12010" w:hanging="440"/>
      </w:pPr>
      <w:rPr>
        <w:rFonts w:ascii="Wingdings" w:hAnsi="Wingdings" w:hint="default"/>
      </w:rPr>
    </w:lvl>
    <w:lvl w:ilvl="7" w:tplc="04090003" w:tentative="1">
      <w:start w:val="1"/>
      <w:numFmt w:val="bullet"/>
      <w:lvlText w:val=""/>
      <w:lvlJc w:val="left"/>
      <w:pPr>
        <w:ind w:left="12450" w:hanging="440"/>
      </w:pPr>
      <w:rPr>
        <w:rFonts w:ascii="Wingdings" w:hAnsi="Wingdings" w:hint="default"/>
      </w:rPr>
    </w:lvl>
    <w:lvl w:ilvl="8" w:tplc="04090005" w:tentative="1">
      <w:start w:val="1"/>
      <w:numFmt w:val="bullet"/>
      <w:lvlText w:val=""/>
      <w:lvlJc w:val="left"/>
      <w:pPr>
        <w:ind w:left="12890" w:hanging="440"/>
      </w:pPr>
      <w:rPr>
        <w:rFonts w:ascii="Wingdings" w:hAnsi="Wingdings" w:hint="default"/>
      </w:rPr>
    </w:lvl>
  </w:abstractNum>
  <w:abstractNum w:abstractNumId="1" w15:restartNumberingAfterBreak="0">
    <w:nsid w:val="1C43624D"/>
    <w:multiLevelType w:val="hybridMultilevel"/>
    <w:tmpl w:val="EA3A6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B62DF1"/>
    <w:multiLevelType w:val="hybridMultilevel"/>
    <w:tmpl w:val="7E90E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D6C11"/>
    <w:multiLevelType w:val="hybridMultilevel"/>
    <w:tmpl w:val="39F26220"/>
    <w:lvl w:ilvl="0" w:tplc="52D41FDA">
      <w:start w:val="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563059"/>
    <w:multiLevelType w:val="hybridMultilevel"/>
    <w:tmpl w:val="907A33DE"/>
    <w:lvl w:ilvl="0" w:tplc="955EA9CC">
      <w:start w:val="5"/>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E7E2190"/>
    <w:multiLevelType w:val="hybridMultilevel"/>
    <w:tmpl w:val="4C6C437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5C242800"/>
    <w:multiLevelType w:val="hybridMultilevel"/>
    <w:tmpl w:val="A1E0B518"/>
    <w:lvl w:ilvl="0" w:tplc="BEC05E24">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4748C0"/>
    <w:multiLevelType w:val="hybridMultilevel"/>
    <w:tmpl w:val="5F48AC8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418133620">
    <w:abstractNumId w:val="1"/>
  </w:num>
  <w:num w:numId="2" w16cid:durableId="1751930766">
    <w:abstractNumId w:val="2"/>
  </w:num>
  <w:num w:numId="3" w16cid:durableId="389615891">
    <w:abstractNumId w:val="5"/>
  </w:num>
  <w:num w:numId="4" w16cid:durableId="1287929826">
    <w:abstractNumId w:val="7"/>
  </w:num>
  <w:num w:numId="5" w16cid:durableId="347877780">
    <w:abstractNumId w:val="4"/>
  </w:num>
  <w:num w:numId="6" w16cid:durableId="1083336841">
    <w:abstractNumId w:val="0"/>
  </w:num>
  <w:num w:numId="7" w16cid:durableId="1060790542">
    <w:abstractNumId w:val="3"/>
  </w:num>
  <w:num w:numId="8" w16cid:durableId="16354059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QwNTIyMjQyMTcwMTBV0lEKTi0uzszPAykwrQUA04kToCwAAAA="/>
  </w:docVars>
  <w:rsids>
    <w:rsidRoot w:val="004759F8"/>
    <w:rsid w:val="00011D52"/>
    <w:rsid w:val="00024C2A"/>
    <w:rsid w:val="000E057E"/>
    <w:rsid w:val="00152126"/>
    <w:rsid w:val="0015688F"/>
    <w:rsid w:val="00174175"/>
    <w:rsid w:val="001A798C"/>
    <w:rsid w:val="002155FD"/>
    <w:rsid w:val="00246A55"/>
    <w:rsid w:val="00302E4F"/>
    <w:rsid w:val="00455A04"/>
    <w:rsid w:val="004759F8"/>
    <w:rsid w:val="00476715"/>
    <w:rsid w:val="004A38FA"/>
    <w:rsid w:val="00563ECF"/>
    <w:rsid w:val="005E7D08"/>
    <w:rsid w:val="00677E53"/>
    <w:rsid w:val="00684E2B"/>
    <w:rsid w:val="00704E49"/>
    <w:rsid w:val="0074121F"/>
    <w:rsid w:val="007A00D3"/>
    <w:rsid w:val="007F208A"/>
    <w:rsid w:val="00856A0F"/>
    <w:rsid w:val="00892E20"/>
    <w:rsid w:val="00942359"/>
    <w:rsid w:val="0095095C"/>
    <w:rsid w:val="00A067CB"/>
    <w:rsid w:val="00A65CCB"/>
    <w:rsid w:val="00B72FC5"/>
    <w:rsid w:val="00C22D82"/>
    <w:rsid w:val="00C601D2"/>
    <w:rsid w:val="00CA5581"/>
    <w:rsid w:val="00D76C75"/>
    <w:rsid w:val="00D83916"/>
    <w:rsid w:val="00DD0AED"/>
    <w:rsid w:val="00E765B5"/>
    <w:rsid w:val="00FD1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59DF0"/>
  <w15:chartTrackingRefBased/>
  <w15:docId w15:val="{54E25BE4-63E5-4001-B1C5-0FBECF601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4759F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unhideWhenUsed/>
    <w:qFormat/>
    <w:rsid w:val="004759F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004759F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unhideWhenUsed/>
    <w:qFormat/>
    <w:rsid w:val="004759F8"/>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4759F8"/>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4759F8"/>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4759F8"/>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4759F8"/>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4759F8"/>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9F8"/>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rsid w:val="004759F8"/>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4759F8"/>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rsid w:val="004759F8"/>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4759F8"/>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759F8"/>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4759F8"/>
    <w:rPr>
      <w:rFonts w:cstheme="majorBidi"/>
      <w:b/>
      <w:bCs/>
      <w:color w:val="595959" w:themeColor="text1" w:themeTint="A6"/>
    </w:rPr>
  </w:style>
  <w:style w:type="character" w:customStyle="1" w:styleId="Heading8Char">
    <w:name w:val="Heading 8 Char"/>
    <w:basedOn w:val="DefaultParagraphFont"/>
    <w:link w:val="Heading8"/>
    <w:uiPriority w:val="9"/>
    <w:semiHidden/>
    <w:rsid w:val="004759F8"/>
    <w:rPr>
      <w:rFonts w:cstheme="majorBidi"/>
      <w:color w:val="595959" w:themeColor="text1" w:themeTint="A6"/>
    </w:rPr>
  </w:style>
  <w:style w:type="character" w:customStyle="1" w:styleId="Heading9Char">
    <w:name w:val="Heading 9 Char"/>
    <w:basedOn w:val="DefaultParagraphFont"/>
    <w:link w:val="Heading9"/>
    <w:uiPriority w:val="9"/>
    <w:semiHidden/>
    <w:rsid w:val="004759F8"/>
    <w:rPr>
      <w:rFonts w:eastAsiaTheme="majorEastAsia" w:cstheme="majorBidi"/>
      <w:color w:val="595959" w:themeColor="text1" w:themeTint="A6"/>
    </w:rPr>
  </w:style>
  <w:style w:type="paragraph" w:styleId="Title">
    <w:name w:val="Title"/>
    <w:basedOn w:val="Normal"/>
    <w:next w:val="Normal"/>
    <w:link w:val="TitleChar"/>
    <w:uiPriority w:val="10"/>
    <w:qFormat/>
    <w:rsid w:val="004759F8"/>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9F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9F8"/>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4759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59F8"/>
    <w:rPr>
      <w:i/>
      <w:iCs/>
      <w:color w:val="404040" w:themeColor="text1" w:themeTint="BF"/>
    </w:rPr>
  </w:style>
  <w:style w:type="paragraph" w:styleId="ListParagraph">
    <w:name w:val="List Paragraph"/>
    <w:basedOn w:val="Normal"/>
    <w:link w:val="ListParagraphChar"/>
    <w:uiPriority w:val="34"/>
    <w:qFormat/>
    <w:rsid w:val="004759F8"/>
    <w:pPr>
      <w:ind w:left="720"/>
      <w:contextualSpacing/>
    </w:pPr>
  </w:style>
  <w:style w:type="character" w:styleId="IntenseEmphasis">
    <w:name w:val="Intense Emphasis"/>
    <w:basedOn w:val="DefaultParagraphFont"/>
    <w:uiPriority w:val="21"/>
    <w:qFormat/>
    <w:rsid w:val="004759F8"/>
    <w:rPr>
      <w:i/>
      <w:iCs/>
      <w:color w:val="0F4761" w:themeColor="accent1" w:themeShade="BF"/>
    </w:rPr>
  </w:style>
  <w:style w:type="paragraph" w:styleId="IntenseQuote">
    <w:name w:val="Intense Quote"/>
    <w:basedOn w:val="Normal"/>
    <w:next w:val="Normal"/>
    <w:link w:val="IntenseQuoteChar"/>
    <w:uiPriority w:val="30"/>
    <w:qFormat/>
    <w:rsid w:val="00475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9F8"/>
    <w:rPr>
      <w:i/>
      <w:iCs/>
      <w:color w:val="0F4761" w:themeColor="accent1" w:themeShade="BF"/>
    </w:rPr>
  </w:style>
  <w:style w:type="character" w:styleId="IntenseReference">
    <w:name w:val="Intense Reference"/>
    <w:basedOn w:val="DefaultParagraphFont"/>
    <w:uiPriority w:val="32"/>
    <w:qFormat/>
    <w:rsid w:val="004759F8"/>
    <w:rPr>
      <w:b/>
      <w:bCs/>
      <w:smallCaps/>
      <w:color w:val="0F4761" w:themeColor="accent1" w:themeShade="BF"/>
      <w:spacing w:val="5"/>
    </w:rPr>
  </w:style>
  <w:style w:type="table" w:customStyle="1" w:styleId="PlainTable21">
    <w:name w:val="Plain Table 21"/>
    <w:basedOn w:val="TableNormal"/>
    <w:next w:val="PlainTable2"/>
    <w:uiPriority w:val="42"/>
    <w:rsid w:val="00D76C75"/>
    <w:rPr>
      <w:kern w:val="0"/>
      <w:sz w:val="22"/>
      <w:lang w:val="nl-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D76C7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
    <w:name w:val="No List1"/>
    <w:next w:val="NoList"/>
    <w:uiPriority w:val="99"/>
    <w:semiHidden/>
    <w:unhideWhenUsed/>
    <w:rsid w:val="00D76C75"/>
  </w:style>
  <w:style w:type="paragraph" w:styleId="Caption">
    <w:name w:val="caption"/>
    <w:basedOn w:val="Normal"/>
    <w:next w:val="Normal"/>
    <w:uiPriority w:val="35"/>
    <w:unhideWhenUsed/>
    <w:qFormat/>
    <w:rsid w:val="00D76C75"/>
    <w:pPr>
      <w:widowControl/>
      <w:spacing w:after="200"/>
      <w:jc w:val="center"/>
    </w:pPr>
    <w:rPr>
      <w:rFonts w:eastAsia="宋体"/>
      <w:b/>
      <w:bCs/>
      <w:kern w:val="0"/>
      <w:sz w:val="18"/>
      <w:szCs w:val="18"/>
      <w:lang w:eastAsia="en-US"/>
    </w:rPr>
  </w:style>
  <w:style w:type="table" w:styleId="TableGrid">
    <w:name w:val="Table Grid"/>
    <w:basedOn w:val="TableNormal"/>
    <w:uiPriority w:val="59"/>
    <w:rsid w:val="00D76C75"/>
    <w:rPr>
      <w:rFonts w:eastAsia="宋体"/>
      <w:kern w:val="0"/>
      <w:sz w:val="22"/>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D76C75"/>
  </w:style>
  <w:style w:type="table" w:customStyle="1" w:styleId="PlainTable22">
    <w:name w:val="Plain Table 22"/>
    <w:basedOn w:val="TableNormal"/>
    <w:next w:val="PlainTable2"/>
    <w:uiPriority w:val="42"/>
    <w:rsid w:val="00D76C75"/>
    <w:rPr>
      <w:kern w:val="0"/>
      <w:sz w:val="22"/>
      <w:lang w:val="nl-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1">
    <w:name w:val="Table Grid Light1"/>
    <w:basedOn w:val="TableNormal"/>
    <w:next w:val="TableGridLight"/>
    <w:uiPriority w:val="40"/>
    <w:rsid w:val="00D76C75"/>
    <w:rPr>
      <w:kern w:val="0"/>
      <w:sz w:val="22"/>
      <w:lang w:val="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Header">
    <w:name w:val="header"/>
    <w:basedOn w:val="Normal"/>
    <w:link w:val="HeaderChar"/>
    <w:uiPriority w:val="99"/>
    <w:unhideWhenUsed/>
    <w:rsid w:val="00D76C75"/>
    <w:pPr>
      <w:widowControl/>
      <w:tabs>
        <w:tab w:val="center" w:pos="4153"/>
        <w:tab w:val="right" w:pos="8306"/>
      </w:tabs>
      <w:jc w:val="left"/>
    </w:pPr>
    <w:rPr>
      <w:kern w:val="0"/>
      <w:sz w:val="22"/>
    </w:rPr>
  </w:style>
  <w:style w:type="character" w:customStyle="1" w:styleId="HeaderChar">
    <w:name w:val="Header Char"/>
    <w:basedOn w:val="DefaultParagraphFont"/>
    <w:link w:val="Header"/>
    <w:uiPriority w:val="99"/>
    <w:rsid w:val="00D76C75"/>
    <w:rPr>
      <w:kern w:val="0"/>
      <w:sz w:val="22"/>
    </w:rPr>
  </w:style>
  <w:style w:type="paragraph" w:styleId="Footer">
    <w:name w:val="footer"/>
    <w:basedOn w:val="Normal"/>
    <w:link w:val="FooterChar"/>
    <w:uiPriority w:val="99"/>
    <w:unhideWhenUsed/>
    <w:rsid w:val="00D76C75"/>
    <w:pPr>
      <w:widowControl/>
      <w:tabs>
        <w:tab w:val="center" w:pos="4153"/>
        <w:tab w:val="right" w:pos="8306"/>
      </w:tabs>
      <w:jc w:val="left"/>
    </w:pPr>
    <w:rPr>
      <w:kern w:val="0"/>
      <w:sz w:val="22"/>
    </w:rPr>
  </w:style>
  <w:style w:type="character" w:customStyle="1" w:styleId="FooterChar">
    <w:name w:val="Footer Char"/>
    <w:basedOn w:val="DefaultParagraphFont"/>
    <w:link w:val="Footer"/>
    <w:uiPriority w:val="99"/>
    <w:rsid w:val="00D76C75"/>
    <w:rPr>
      <w:kern w:val="0"/>
      <w:sz w:val="22"/>
    </w:rPr>
  </w:style>
  <w:style w:type="paragraph" w:styleId="BalloonText">
    <w:name w:val="Balloon Text"/>
    <w:basedOn w:val="Normal"/>
    <w:link w:val="BalloonTextChar"/>
    <w:uiPriority w:val="99"/>
    <w:semiHidden/>
    <w:unhideWhenUsed/>
    <w:rsid w:val="00D76C75"/>
    <w:pPr>
      <w:widowControl/>
      <w:jc w:val="left"/>
    </w:pPr>
    <w:rPr>
      <w:rFonts w:ascii="Tahoma" w:eastAsia="宋体" w:hAnsi="Tahoma" w:cs="Tahoma"/>
      <w:kern w:val="0"/>
      <w:sz w:val="16"/>
      <w:szCs w:val="16"/>
      <w:lang w:eastAsia="en-US"/>
    </w:rPr>
  </w:style>
  <w:style w:type="character" w:customStyle="1" w:styleId="BalloonTextChar">
    <w:name w:val="Balloon Text Char"/>
    <w:basedOn w:val="DefaultParagraphFont"/>
    <w:link w:val="BalloonText"/>
    <w:uiPriority w:val="99"/>
    <w:semiHidden/>
    <w:rsid w:val="00D76C75"/>
    <w:rPr>
      <w:rFonts w:ascii="Tahoma" w:eastAsia="宋体" w:hAnsi="Tahoma" w:cs="Tahoma"/>
      <w:kern w:val="0"/>
      <w:sz w:val="16"/>
      <w:szCs w:val="16"/>
      <w:lang w:eastAsia="en-US"/>
    </w:rPr>
  </w:style>
  <w:style w:type="paragraph" w:customStyle="1" w:styleId="EndNoteBibliographyTitle">
    <w:name w:val="EndNote Bibliography Title"/>
    <w:basedOn w:val="Normal"/>
    <w:link w:val="EndNoteBibliographyTitleChar"/>
    <w:rsid w:val="00D76C75"/>
    <w:pPr>
      <w:widowControl/>
      <w:spacing w:line="276" w:lineRule="auto"/>
      <w:jc w:val="center"/>
    </w:pPr>
    <w:rPr>
      <w:rFonts w:ascii="Cambria" w:eastAsia="宋体" w:hAnsi="Cambria"/>
      <w:noProof/>
      <w:kern w:val="0"/>
      <w:sz w:val="26"/>
      <w:lang w:eastAsia="en-US"/>
    </w:rPr>
  </w:style>
  <w:style w:type="character" w:customStyle="1" w:styleId="EndNoteBibliographyTitleChar">
    <w:name w:val="EndNote Bibliography Title Char"/>
    <w:basedOn w:val="ListParagraphChar"/>
    <w:link w:val="EndNoteBibliographyTitle"/>
    <w:rsid w:val="00D76C75"/>
    <w:rPr>
      <w:rFonts w:ascii="Cambria" w:eastAsia="宋体" w:hAnsi="Cambria"/>
      <w:noProof/>
      <w:kern w:val="0"/>
      <w:sz w:val="26"/>
      <w:lang w:eastAsia="en-US"/>
    </w:rPr>
  </w:style>
  <w:style w:type="paragraph" w:customStyle="1" w:styleId="EndNoteBibliography">
    <w:name w:val="EndNote Bibliography"/>
    <w:basedOn w:val="Normal"/>
    <w:link w:val="EndNoteBibliographyChar"/>
    <w:rsid w:val="00D76C75"/>
    <w:pPr>
      <w:widowControl/>
      <w:spacing w:after="200"/>
      <w:jc w:val="left"/>
    </w:pPr>
    <w:rPr>
      <w:rFonts w:ascii="Cambria" w:eastAsia="宋体" w:hAnsi="Cambria"/>
      <w:noProof/>
      <w:kern w:val="0"/>
      <w:sz w:val="26"/>
      <w:lang w:eastAsia="en-US"/>
    </w:rPr>
  </w:style>
  <w:style w:type="character" w:customStyle="1" w:styleId="EndNoteBibliographyChar">
    <w:name w:val="EndNote Bibliography Char"/>
    <w:basedOn w:val="ListParagraphChar"/>
    <w:link w:val="EndNoteBibliography"/>
    <w:rsid w:val="00D76C75"/>
    <w:rPr>
      <w:rFonts w:ascii="Cambria" w:eastAsia="宋体" w:hAnsi="Cambria"/>
      <w:noProof/>
      <w:kern w:val="0"/>
      <w:sz w:val="26"/>
      <w:lang w:eastAsia="en-US"/>
    </w:rPr>
  </w:style>
  <w:style w:type="paragraph" w:customStyle="1" w:styleId="Paragraph">
    <w:name w:val="Paragraph"/>
    <w:basedOn w:val="Normal"/>
    <w:uiPriority w:val="99"/>
    <w:rsid w:val="00D76C75"/>
    <w:pPr>
      <w:widowControl/>
      <w:spacing w:after="240"/>
    </w:pPr>
    <w:rPr>
      <w:rFonts w:ascii="Arial" w:eastAsia="宋体" w:hAnsi="Arial" w:cs="Arial"/>
      <w:kern w:val="0"/>
      <w:sz w:val="28"/>
      <w:szCs w:val="20"/>
      <w:lang w:eastAsia="en-US"/>
    </w:rPr>
  </w:style>
  <w:style w:type="paragraph" w:styleId="NormalWeb">
    <w:name w:val="Normal (Web)"/>
    <w:basedOn w:val="Normal"/>
    <w:uiPriority w:val="99"/>
    <w:semiHidden/>
    <w:unhideWhenUsed/>
    <w:rsid w:val="00D76C75"/>
    <w:pPr>
      <w:widowControl/>
      <w:spacing w:before="100" w:beforeAutospacing="1" w:after="100" w:afterAutospacing="1"/>
      <w:jc w:val="left"/>
    </w:pPr>
    <w:rPr>
      <w:rFonts w:ascii="Times New Roman" w:hAnsi="Times New Roman" w:cs="Times New Roman"/>
      <w:kern w:val="0"/>
      <w:sz w:val="24"/>
      <w:szCs w:val="24"/>
      <w:lang w:eastAsia="nl-NL"/>
    </w:rPr>
  </w:style>
  <w:style w:type="character" w:customStyle="1" w:styleId="Hyperlink1">
    <w:name w:val="Hyperlink1"/>
    <w:basedOn w:val="DefaultParagraphFont"/>
    <w:uiPriority w:val="99"/>
    <w:unhideWhenUsed/>
    <w:rsid w:val="00D76C75"/>
    <w:rPr>
      <w:color w:val="0563C1"/>
      <w:u w:val="single"/>
    </w:rPr>
  </w:style>
  <w:style w:type="character" w:customStyle="1" w:styleId="UnresolvedMention1">
    <w:name w:val="Unresolved Mention1"/>
    <w:basedOn w:val="DefaultParagraphFont"/>
    <w:uiPriority w:val="99"/>
    <w:semiHidden/>
    <w:unhideWhenUsed/>
    <w:rsid w:val="00D76C75"/>
    <w:rPr>
      <w:color w:val="605E5C"/>
      <w:shd w:val="clear" w:color="auto" w:fill="E1DFDD"/>
    </w:rPr>
  </w:style>
  <w:style w:type="character" w:styleId="CommentReference">
    <w:name w:val="annotation reference"/>
    <w:basedOn w:val="DefaultParagraphFont"/>
    <w:uiPriority w:val="99"/>
    <w:semiHidden/>
    <w:unhideWhenUsed/>
    <w:rsid w:val="00D76C75"/>
    <w:rPr>
      <w:sz w:val="16"/>
      <w:szCs w:val="16"/>
    </w:rPr>
  </w:style>
  <w:style w:type="paragraph" w:styleId="CommentText">
    <w:name w:val="annotation text"/>
    <w:basedOn w:val="Normal"/>
    <w:link w:val="CommentTextChar"/>
    <w:uiPriority w:val="99"/>
    <w:unhideWhenUsed/>
    <w:rsid w:val="00D76C75"/>
    <w:pPr>
      <w:widowControl/>
      <w:spacing w:after="200"/>
      <w:jc w:val="left"/>
    </w:pPr>
    <w:rPr>
      <w:rFonts w:eastAsia="宋体"/>
      <w:kern w:val="0"/>
      <w:sz w:val="20"/>
      <w:szCs w:val="20"/>
      <w:lang w:eastAsia="en-US"/>
    </w:rPr>
  </w:style>
  <w:style w:type="character" w:customStyle="1" w:styleId="CommentTextChar">
    <w:name w:val="Comment Text Char"/>
    <w:basedOn w:val="DefaultParagraphFont"/>
    <w:link w:val="CommentText"/>
    <w:uiPriority w:val="99"/>
    <w:rsid w:val="00D76C75"/>
    <w:rPr>
      <w:rFonts w:eastAsia="宋体"/>
      <w:kern w:val="0"/>
      <w:sz w:val="20"/>
      <w:szCs w:val="20"/>
      <w:lang w:eastAsia="en-US"/>
    </w:rPr>
  </w:style>
  <w:style w:type="paragraph" w:styleId="CommentSubject">
    <w:name w:val="annotation subject"/>
    <w:basedOn w:val="CommentText"/>
    <w:next w:val="CommentText"/>
    <w:link w:val="CommentSubjectChar"/>
    <w:uiPriority w:val="99"/>
    <w:semiHidden/>
    <w:unhideWhenUsed/>
    <w:rsid w:val="00D76C75"/>
    <w:rPr>
      <w:b/>
      <w:bCs/>
    </w:rPr>
  </w:style>
  <w:style w:type="character" w:customStyle="1" w:styleId="CommentSubjectChar">
    <w:name w:val="Comment Subject Char"/>
    <w:basedOn w:val="CommentTextChar"/>
    <w:link w:val="CommentSubject"/>
    <w:uiPriority w:val="99"/>
    <w:semiHidden/>
    <w:rsid w:val="00D76C75"/>
    <w:rPr>
      <w:rFonts w:eastAsia="宋体"/>
      <w:b/>
      <w:bCs/>
      <w:kern w:val="0"/>
      <w:sz w:val="20"/>
      <w:szCs w:val="20"/>
      <w:lang w:eastAsia="en-US"/>
    </w:rPr>
  </w:style>
  <w:style w:type="paragraph" w:styleId="EndnoteText">
    <w:name w:val="endnote text"/>
    <w:basedOn w:val="Normal"/>
    <w:link w:val="EndnoteTextChar"/>
    <w:uiPriority w:val="99"/>
    <w:semiHidden/>
    <w:unhideWhenUsed/>
    <w:rsid w:val="00D76C75"/>
    <w:pPr>
      <w:widowControl/>
      <w:jc w:val="left"/>
    </w:pPr>
    <w:rPr>
      <w:rFonts w:eastAsia="宋体"/>
      <w:kern w:val="0"/>
      <w:sz w:val="20"/>
      <w:szCs w:val="20"/>
      <w:lang w:eastAsia="en-US"/>
    </w:rPr>
  </w:style>
  <w:style w:type="character" w:customStyle="1" w:styleId="EndnoteTextChar">
    <w:name w:val="Endnote Text Char"/>
    <w:basedOn w:val="DefaultParagraphFont"/>
    <w:link w:val="EndnoteText"/>
    <w:uiPriority w:val="99"/>
    <w:semiHidden/>
    <w:rsid w:val="00D76C75"/>
    <w:rPr>
      <w:rFonts w:eastAsia="宋体"/>
      <w:kern w:val="0"/>
      <w:sz w:val="20"/>
      <w:szCs w:val="20"/>
      <w:lang w:eastAsia="en-US"/>
    </w:rPr>
  </w:style>
  <w:style w:type="character" w:styleId="EndnoteReference">
    <w:name w:val="endnote reference"/>
    <w:basedOn w:val="DefaultParagraphFont"/>
    <w:uiPriority w:val="99"/>
    <w:semiHidden/>
    <w:unhideWhenUsed/>
    <w:rsid w:val="00D76C75"/>
    <w:rPr>
      <w:vertAlign w:val="superscript"/>
    </w:rPr>
  </w:style>
  <w:style w:type="paragraph" w:styleId="FootnoteText">
    <w:name w:val="footnote text"/>
    <w:basedOn w:val="Normal"/>
    <w:link w:val="FootnoteTextChar"/>
    <w:uiPriority w:val="99"/>
    <w:semiHidden/>
    <w:unhideWhenUsed/>
    <w:rsid w:val="00D76C75"/>
    <w:pPr>
      <w:widowControl/>
      <w:jc w:val="left"/>
    </w:pPr>
    <w:rPr>
      <w:rFonts w:eastAsia="宋体"/>
      <w:kern w:val="0"/>
      <w:sz w:val="20"/>
      <w:szCs w:val="20"/>
      <w:lang w:eastAsia="en-US"/>
    </w:rPr>
  </w:style>
  <w:style w:type="character" w:customStyle="1" w:styleId="FootnoteTextChar">
    <w:name w:val="Footnote Text Char"/>
    <w:basedOn w:val="DefaultParagraphFont"/>
    <w:link w:val="FootnoteText"/>
    <w:uiPriority w:val="99"/>
    <w:semiHidden/>
    <w:rsid w:val="00D76C75"/>
    <w:rPr>
      <w:rFonts w:eastAsia="宋体"/>
      <w:kern w:val="0"/>
      <w:sz w:val="20"/>
      <w:szCs w:val="20"/>
      <w:lang w:eastAsia="en-US"/>
    </w:rPr>
  </w:style>
  <w:style w:type="character" w:styleId="FootnoteReference">
    <w:name w:val="footnote reference"/>
    <w:basedOn w:val="DefaultParagraphFont"/>
    <w:uiPriority w:val="99"/>
    <w:semiHidden/>
    <w:unhideWhenUsed/>
    <w:rsid w:val="00D76C75"/>
    <w:rPr>
      <w:vertAlign w:val="superscript"/>
    </w:rPr>
  </w:style>
  <w:style w:type="character" w:customStyle="1" w:styleId="UnresolvedMention2">
    <w:name w:val="Unresolved Mention2"/>
    <w:basedOn w:val="DefaultParagraphFont"/>
    <w:uiPriority w:val="99"/>
    <w:semiHidden/>
    <w:unhideWhenUsed/>
    <w:rsid w:val="00D76C75"/>
    <w:rPr>
      <w:color w:val="605E5C"/>
      <w:shd w:val="clear" w:color="auto" w:fill="E1DFDD"/>
    </w:rPr>
  </w:style>
  <w:style w:type="table" w:customStyle="1" w:styleId="TableGrid1">
    <w:name w:val="Table Grid1"/>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76C75"/>
    <w:rPr>
      <w:rFonts w:eastAsia="宋体"/>
      <w:kern w:val="0"/>
      <w:sz w:val="22"/>
      <w:lang w:val="nl-NL" w:eastAsia="en-US"/>
    </w:rPr>
  </w:style>
  <w:style w:type="character" w:customStyle="1" w:styleId="UnresolvedMention3">
    <w:name w:val="Unresolved Mention3"/>
    <w:basedOn w:val="DefaultParagraphFont"/>
    <w:uiPriority w:val="99"/>
    <w:semiHidden/>
    <w:unhideWhenUsed/>
    <w:rsid w:val="00D76C75"/>
    <w:rPr>
      <w:color w:val="605E5C"/>
      <w:shd w:val="clear" w:color="auto" w:fill="E1DFDD"/>
    </w:rPr>
  </w:style>
  <w:style w:type="paragraph" w:customStyle="1" w:styleId="EndNoteCategoryHeading">
    <w:name w:val="EndNote Category Heading"/>
    <w:basedOn w:val="Normal"/>
    <w:link w:val="EndNoteCategoryHeadingChar"/>
    <w:rsid w:val="00D76C75"/>
    <w:pPr>
      <w:widowControl/>
      <w:spacing w:before="120" w:after="120" w:line="276" w:lineRule="auto"/>
      <w:jc w:val="left"/>
    </w:pPr>
    <w:rPr>
      <w:rFonts w:eastAsia="宋体"/>
      <w:b/>
      <w:noProof/>
      <w:kern w:val="0"/>
      <w:sz w:val="22"/>
      <w:lang w:eastAsia="en-US"/>
    </w:rPr>
  </w:style>
  <w:style w:type="character" w:customStyle="1" w:styleId="EndNoteCategoryHeadingChar">
    <w:name w:val="EndNote Category Heading Char"/>
    <w:basedOn w:val="DefaultParagraphFont"/>
    <w:link w:val="EndNoteCategoryHeading"/>
    <w:rsid w:val="00D76C75"/>
    <w:rPr>
      <w:rFonts w:eastAsia="宋体"/>
      <w:b/>
      <w:noProof/>
      <w:kern w:val="0"/>
      <w:sz w:val="22"/>
      <w:lang w:eastAsia="en-US"/>
    </w:rPr>
  </w:style>
  <w:style w:type="character" w:customStyle="1" w:styleId="UnresolvedMention4">
    <w:name w:val="Unresolved Mention4"/>
    <w:basedOn w:val="DefaultParagraphFont"/>
    <w:uiPriority w:val="99"/>
    <w:semiHidden/>
    <w:unhideWhenUsed/>
    <w:rsid w:val="00D76C75"/>
    <w:rPr>
      <w:color w:val="605E5C"/>
      <w:shd w:val="clear" w:color="auto" w:fill="E1DFDD"/>
    </w:rPr>
  </w:style>
  <w:style w:type="character" w:customStyle="1" w:styleId="UnresolvedMention5">
    <w:name w:val="Unresolved Mention5"/>
    <w:basedOn w:val="DefaultParagraphFont"/>
    <w:uiPriority w:val="99"/>
    <w:semiHidden/>
    <w:unhideWhenUsed/>
    <w:rsid w:val="00D76C75"/>
    <w:rPr>
      <w:color w:val="605E5C"/>
      <w:shd w:val="clear" w:color="auto" w:fill="E1DFDD"/>
    </w:rPr>
  </w:style>
  <w:style w:type="character" w:styleId="PlaceholderText">
    <w:name w:val="Placeholder Text"/>
    <w:basedOn w:val="DefaultParagraphFont"/>
    <w:uiPriority w:val="99"/>
    <w:semiHidden/>
    <w:rsid w:val="00D76C75"/>
    <w:rPr>
      <w:color w:val="808080"/>
    </w:rPr>
  </w:style>
  <w:style w:type="character" w:customStyle="1" w:styleId="UnresolvedMention6">
    <w:name w:val="Unresolved Mention6"/>
    <w:basedOn w:val="DefaultParagraphFont"/>
    <w:uiPriority w:val="99"/>
    <w:semiHidden/>
    <w:unhideWhenUsed/>
    <w:rsid w:val="00D76C75"/>
    <w:rPr>
      <w:color w:val="605E5C"/>
      <w:shd w:val="clear" w:color="auto" w:fill="E1DFDD"/>
    </w:rPr>
  </w:style>
  <w:style w:type="character" w:styleId="LineNumber">
    <w:name w:val="line number"/>
    <w:basedOn w:val="DefaultParagraphFont"/>
    <w:uiPriority w:val="99"/>
    <w:semiHidden/>
    <w:unhideWhenUsed/>
    <w:rsid w:val="00D76C75"/>
  </w:style>
  <w:style w:type="paragraph" w:customStyle="1" w:styleId="BodyofPaper">
    <w:name w:val="*Body of Paper*"/>
    <w:basedOn w:val="Normal"/>
    <w:link w:val="BodyofPaperChar"/>
    <w:rsid w:val="00D76C75"/>
    <w:pPr>
      <w:widowControl/>
    </w:pPr>
    <w:rPr>
      <w:rFonts w:ascii="Times New Roman" w:hAnsi="Times New Roman" w:cs="Times New Roman"/>
      <w:kern w:val="0"/>
      <w:sz w:val="20"/>
      <w:szCs w:val="20"/>
      <w:lang w:eastAsia="en-US"/>
    </w:rPr>
  </w:style>
  <w:style w:type="character" w:customStyle="1" w:styleId="BodyofPaperChar">
    <w:name w:val="*Body of Paper* Char"/>
    <w:basedOn w:val="DefaultParagraphFont"/>
    <w:link w:val="BodyofPaper"/>
    <w:rsid w:val="00D76C75"/>
    <w:rPr>
      <w:rFonts w:ascii="Times New Roman" w:hAnsi="Times New Roman" w:cs="Times New Roman"/>
      <w:kern w:val="0"/>
      <w:sz w:val="20"/>
      <w:szCs w:val="20"/>
      <w:lang w:eastAsia="en-US"/>
    </w:rPr>
  </w:style>
  <w:style w:type="character" w:customStyle="1" w:styleId="allowtextselection">
    <w:name w:val="allowtextselection"/>
    <w:basedOn w:val="DefaultParagraphFont"/>
    <w:rsid w:val="00D76C75"/>
  </w:style>
  <w:style w:type="numbering" w:customStyle="1" w:styleId="NoList11">
    <w:name w:val="No List11"/>
    <w:next w:val="NoList"/>
    <w:uiPriority w:val="99"/>
    <w:semiHidden/>
    <w:unhideWhenUsed/>
    <w:rsid w:val="00D76C75"/>
  </w:style>
  <w:style w:type="table" w:customStyle="1" w:styleId="TableGrid4">
    <w:name w:val="Table Grid4"/>
    <w:basedOn w:val="TableNormal"/>
    <w:next w:val="TableGrid"/>
    <w:uiPriority w:val="59"/>
    <w:rsid w:val="00D76C75"/>
    <w:rPr>
      <w:rFonts w:eastAsia="宋体"/>
      <w:kern w:val="0"/>
      <w:sz w:val="22"/>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1">
    <w:name w:val="Plain Table 211"/>
    <w:basedOn w:val="TableNormal"/>
    <w:next w:val="PlainTable2"/>
    <w:uiPriority w:val="42"/>
    <w:rsid w:val="00D76C75"/>
    <w:rPr>
      <w:kern w:val="0"/>
      <w:sz w:val="22"/>
      <w:lang w:val="nl-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11">
    <w:name w:val="Table Grid11"/>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D76C75"/>
    <w:rPr>
      <w:rFonts w:ascii="Calibri" w:eastAsia="Calibri" w:hAnsi="Calibri" w:cs="Latha"/>
      <w:kern w:val="0"/>
      <w:sz w:val="22"/>
      <w:lang w:eastAsia="en-US" w:bidi="ta-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Normal"/>
    <w:link w:val="tableChar"/>
    <w:qFormat/>
    <w:rsid w:val="00D76C75"/>
    <w:pPr>
      <w:widowControl/>
      <w:spacing w:before="360" w:after="120"/>
      <w:jc w:val="center"/>
    </w:pPr>
    <w:rPr>
      <w:rFonts w:ascii="Calibri" w:eastAsia="宋体" w:hAnsi="Calibri" w:cs="Times New Roman"/>
      <w:kern w:val="0"/>
      <w:sz w:val="20"/>
      <w:lang w:eastAsia="en-US"/>
    </w:rPr>
  </w:style>
  <w:style w:type="character" w:customStyle="1" w:styleId="tableChar">
    <w:name w:val="table Char"/>
    <w:basedOn w:val="DefaultParagraphFont"/>
    <w:link w:val="table"/>
    <w:rsid w:val="00D76C75"/>
    <w:rPr>
      <w:rFonts w:ascii="Calibri" w:eastAsia="宋体" w:hAnsi="Calibri" w:cs="Times New Roman"/>
      <w:kern w:val="0"/>
      <w:sz w:val="20"/>
      <w:lang w:eastAsia="en-US"/>
    </w:rPr>
  </w:style>
  <w:style w:type="table" w:customStyle="1" w:styleId="TableGrid5">
    <w:name w:val="Table Grid5"/>
    <w:basedOn w:val="TableNormal"/>
    <w:next w:val="TableGrid"/>
    <w:uiPriority w:val="39"/>
    <w:rsid w:val="00D76C75"/>
    <w:rPr>
      <w:rFonts w:ascii="Aptos" w:eastAsia="等线" w:hAnsi="Aptos" w:cs="Arial"/>
      <w:sz w:val="2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6C75"/>
    <w:rPr>
      <w:b/>
      <w:bCs/>
    </w:rPr>
  </w:style>
  <w:style w:type="character" w:styleId="UnresolvedMention">
    <w:name w:val="Unresolved Mention"/>
    <w:basedOn w:val="DefaultParagraphFont"/>
    <w:uiPriority w:val="99"/>
    <w:semiHidden/>
    <w:unhideWhenUsed/>
    <w:rsid w:val="00D76C75"/>
    <w:rPr>
      <w:color w:val="605E5C"/>
      <w:shd w:val="clear" w:color="auto" w:fill="E1DFDD"/>
    </w:rPr>
  </w:style>
  <w:style w:type="paragraph" w:customStyle="1" w:styleId="TOCHeading1">
    <w:name w:val="TOC Heading1"/>
    <w:basedOn w:val="Heading1"/>
    <w:next w:val="Normal"/>
    <w:uiPriority w:val="39"/>
    <w:unhideWhenUsed/>
    <w:qFormat/>
    <w:rsid w:val="00D76C75"/>
    <w:pPr>
      <w:widowControl/>
      <w:spacing w:before="240" w:after="0" w:line="259" w:lineRule="auto"/>
      <w:jc w:val="left"/>
      <w:outlineLvl w:val="9"/>
    </w:pPr>
    <w:rPr>
      <w:kern w:val="0"/>
      <w:sz w:val="32"/>
      <w:szCs w:val="32"/>
      <w:lang w:eastAsia="en-US"/>
    </w:rPr>
  </w:style>
  <w:style w:type="paragraph" w:styleId="TOC1">
    <w:name w:val="toc 1"/>
    <w:basedOn w:val="Normal"/>
    <w:next w:val="Normal"/>
    <w:autoRedefine/>
    <w:uiPriority w:val="39"/>
    <w:unhideWhenUsed/>
    <w:rsid w:val="00D76C75"/>
    <w:pPr>
      <w:widowControl/>
      <w:spacing w:after="100" w:line="259" w:lineRule="auto"/>
      <w:jc w:val="left"/>
    </w:pPr>
    <w:rPr>
      <w:kern w:val="0"/>
      <w:sz w:val="22"/>
    </w:rPr>
  </w:style>
  <w:style w:type="paragraph" w:styleId="TOC2">
    <w:name w:val="toc 2"/>
    <w:basedOn w:val="Normal"/>
    <w:next w:val="Normal"/>
    <w:autoRedefine/>
    <w:uiPriority w:val="39"/>
    <w:unhideWhenUsed/>
    <w:rsid w:val="00D76C75"/>
    <w:pPr>
      <w:widowControl/>
      <w:spacing w:after="100" w:line="259" w:lineRule="auto"/>
      <w:ind w:left="220"/>
      <w:jc w:val="left"/>
    </w:pPr>
    <w:rPr>
      <w:kern w:val="0"/>
      <w:sz w:val="22"/>
    </w:rPr>
  </w:style>
  <w:style w:type="paragraph" w:styleId="TOC3">
    <w:name w:val="toc 3"/>
    <w:basedOn w:val="Normal"/>
    <w:next w:val="Normal"/>
    <w:autoRedefine/>
    <w:uiPriority w:val="39"/>
    <w:unhideWhenUsed/>
    <w:rsid w:val="00D76C75"/>
    <w:pPr>
      <w:widowControl/>
      <w:spacing w:after="100" w:line="259" w:lineRule="auto"/>
      <w:ind w:left="440"/>
      <w:jc w:val="left"/>
    </w:pPr>
    <w:rPr>
      <w:kern w:val="0"/>
      <w:sz w:val="22"/>
    </w:rPr>
  </w:style>
  <w:style w:type="table" w:styleId="TableGridLight">
    <w:name w:val="Grid Table Light"/>
    <w:basedOn w:val="TableNormal"/>
    <w:uiPriority w:val="40"/>
    <w:rsid w:val="00D76C7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semiHidden/>
    <w:unhideWhenUsed/>
    <w:rsid w:val="00D76C7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0A31E-B0B5-4A07-98F2-49CC2F136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27490</Words>
  <Characters>156695</Characters>
  <Application>Microsoft Office Word</Application>
  <DocSecurity>0</DocSecurity>
  <Lines>1305</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Boyu Chen</dc:creator>
  <cp:keywords/>
  <dc:description/>
  <cp:lastModifiedBy>Boyu Chen</cp:lastModifiedBy>
  <cp:revision>5</cp:revision>
  <cp:lastPrinted>2025-01-16T08:48:00Z</cp:lastPrinted>
  <dcterms:created xsi:type="dcterms:W3CDTF">2025-08-19T11:50:00Z</dcterms:created>
  <dcterms:modified xsi:type="dcterms:W3CDTF">2025-08-19T12:36:00Z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d5bf93a179f8be09cafe43e553bab8eb851917cdc67143491455f13592a3e14d</vt:lpwstr>
  </property>
  <property fmtid="{D5CDD505-2E9C-101B-9397-08002B2CF9AE}" pid="3" name="Mendeley Recent Style Id 0_1">
    <vt:lpwstr>http://www.zotero.org/styles/cement-and-concrete-composites</vt:lpwstr>
  </property>
  <property fmtid="{D5CDD505-2E9C-101B-9397-08002B2CF9AE}" pid="4" name="Mendeley Recent Style Name 0_1">
    <vt:lpwstr>Cement and Concrete Composites</vt:lpwstr>
  </property>
  <property fmtid="{D5CDD505-2E9C-101B-9397-08002B2CF9AE}" pid="5" name="Mendeley Recent Style Id 1_1">
    <vt:lpwstr>http://www.zotero.org/styles/cement-and-concrete-research</vt:lpwstr>
  </property>
  <property fmtid="{D5CDD505-2E9C-101B-9397-08002B2CF9AE}" pid="6" name="Mendeley Recent Style Name 1_1">
    <vt:lpwstr>Cement and Concrete Research</vt:lpwstr>
  </property>
  <property fmtid="{D5CDD505-2E9C-101B-9397-08002B2CF9AE}" pid="7" name="Mendeley Recent Style Id 2_1">
    <vt:lpwstr>http://www.zotero.org/styles/chicago-author-date</vt:lpwstr>
  </property>
  <property fmtid="{D5CDD505-2E9C-101B-9397-08002B2CF9AE}" pid="8" name="Mendeley Recent Style Name 2_1">
    <vt:lpwstr>Chicago Manual of Style 17th edition (author-date)</vt:lpwstr>
  </property>
  <property fmtid="{D5CDD505-2E9C-101B-9397-08002B2CF9AE}" pid="9" name="Mendeley Recent Style Id 3_1">
    <vt:lpwstr>http://www.zotero.org/styles/construction-and-building-materials</vt:lpwstr>
  </property>
  <property fmtid="{D5CDD505-2E9C-101B-9397-08002B2CF9AE}" pid="10" name="Mendeley Recent Style Name 3_1">
    <vt:lpwstr>Construction and Building Materials</vt:lpwstr>
  </property>
  <property fmtid="{D5CDD505-2E9C-101B-9397-08002B2CF9AE}" pid="11" name="Mendeley Recent Style Id 4_1">
    <vt:lpwstr>http://www.zotero.org/styles/ieee</vt:lpwstr>
  </property>
  <property fmtid="{D5CDD505-2E9C-101B-9397-08002B2CF9AE}" pid="12" name="Mendeley Recent Style Name 4_1">
    <vt:lpwstr>IEEE</vt:lpwstr>
  </property>
  <property fmtid="{D5CDD505-2E9C-101B-9397-08002B2CF9AE}" pid="13" name="Mendeley Recent Style Id 5_1">
    <vt:lpwstr>http://www.zotero.org/styles/la-trobe-university-apa</vt:lpwstr>
  </property>
  <property fmtid="{D5CDD505-2E9C-101B-9397-08002B2CF9AE}" pid="14" name="Mendeley Recent Style Name 5_1">
    <vt:lpwstr>La Trobe University - APA 6th edition</vt:lpwstr>
  </property>
  <property fmtid="{D5CDD505-2E9C-101B-9397-08002B2CF9AE}" pid="15" name="Mendeley Recent Style Id 6_1">
    <vt:lpwstr>http://www.zotero.org/styles/materials-and-structures</vt:lpwstr>
  </property>
  <property fmtid="{D5CDD505-2E9C-101B-9397-08002B2CF9AE}" pid="16" name="Mendeley Recent Style Name 6_1">
    <vt:lpwstr>Materials and Structures</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http://www.zotero.org/styles/resources-conservation-and-recycling</vt:lpwstr>
  </property>
  <property fmtid="{D5CDD505-2E9C-101B-9397-08002B2CF9AE}" pid="20" name="Mendeley Recent Style Name 8_1">
    <vt:lpwstr>Resources, Conservation &amp; Recycling</vt:lpwstr>
  </property>
  <property fmtid="{D5CDD505-2E9C-101B-9397-08002B2CF9AE}" pid="21" name="Mendeley Recent Style Id 9_1">
    <vt:lpwstr>http://www.zotero.org/styles/taylor-and-francis-apa</vt:lpwstr>
  </property>
  <property fmtid="{D5CDD505-2E9C-101B-9397-08002B2CF9AE}" pid="22" name="Mendeley Recent Style Name 9_1">
    <vt:lpwstr>Taylor &amp; Francis - APA</vt:lpwstr>
  </property>
  <property fmtid="{D5CDD505-2E9C-101B-9397-08002B2CF9AE}" pid="23" name="Mendeley Document_1">
    <vt:lpwstr>True</vt:lpwstr>
  </property>
  <property fmtid="{D5CDD505-2E9C-101B-9397-08002B2CF9AE}" pid="24" name="Mendeley Unique User Id_1">
    <vt:lpwstr>1740b1fa-8b00-3f00-9bc4-1bda5b56ae4e</vt:lpwstr>
  </property>
  <property fmtid="{D5CDD505-2E9C-101B-9397-08002B2CF9AE}" pid="25" name="Mendeley Citation Style_1">
    <vt:lpwstr>http://www.zotero.org/styles/taylor-and-francis-apa</vt:lpwstr>
  </property>
</Properties>
</file>